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672 vom 25. Oktober 2012</w:t>
      </w:r>
    </w:p>
    <w:p>
      <w:r>
        <w:t>VD Tribunal cantonal, 2012-10-25, FR</w:t>
      </w:r>
    </w:p>
    <w:p>
      <w:r>
        <w:rPr>
          <w:b/>
        </w:rPr>
        <w:t xml:space="preserve">Quelle: </w:t>
      </w:r>
      <w:r>
        <w:t>https://mcp.opencaselaw.ch/entscheid/vd_findinfo_HC___2012___672</w:t>
      </w:r>
    </w:p>
    <w:p>
      <w:r>
        <w:t>FR: VD_FINDINFO HC / 2012 / 672 du 25 octobre 2012</w:t>
      </w:r>
    </w:p>
    <w:p>
      <w:r>
        <w:t>IT: VD_FINDINFO HC / 2012 / 672 del 25 ottobre 2012</w:t>
      </w:r>
    </w:p>
    <w:p>
      <w:pPr>
        <w:pStyle w:val="Heading2"/>
      </w:pPr>
      <w:r>
        <w:t>Regeste</w:t>
      </w:r>
    </w:p>
    <w:p>
      <w:r>
        <w:t>AUTORITÉ TUTÉLAIRE, AUTORISATION OU APPROBATION{EN GÉNÉRAL} | 421 ch. 8 CC</w:t>
      </w:r>
    </w:p>
    <w:p>
      <w:pPr>
        <w:pStyle w:val="Heading2"/>
      </w:pPr>
      <w:r>
        <w:t>Erwägungen</w:t>
      </w:r>
    </w:p>
    <w:p>
      <w:r>
        <w:rPr>
          <w:b/>
        </w:rPr>
        <w:t>E. 1</w:t>
      </w:r>
    </w:p>
    <w:p>
      <w:r>
        <w:t>a) L'appel est recevable contre les décisions finales de première instance (art. 308 al. 1 let. a CPC [Code de procédure civile suisse du 19 décembre 2008; RS 272]) au sens de l'art. 236 CPC, dans les causes exclusivement patrimoniales pour autant que la valeur litigieuse soit de 10'000 fr. au moins (art. 308 al. 2 CPC). Lorsque l'appel est dirigé contre une ordonnance d'expulsion fondée sur un défaut de paiement de loyers,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TF 4A_634/2009 du 3 mars 2010 c. 1.1; SJ 2001 I 17 c. 1a; ATF 119 II 147 c. 1). En l'espèce, le loyer mensuel s'élève à 1'500 fr., acompte de chauffage, d'eau chaude, et de frais accessoires, par 140 fr., compris. Alors que le bailleur requiert l'expulsion de la locataire, celle-ci souhaite pouvoir rester dans l'appartement, soit le maintien du bail qui se renouvelle d'année en année, sauf résiliation donnée une année à l'avance pour l'échéance. Eu égard aux principes énoncés ci-avant, la valeur litigieuse est supérieure à 10'000 fr., ce qui ouvre la voie de l'appel.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(art. 248 let. b CPC), de sorte que le délai d'appel n'est que de dix jours. L'ordonnance ayant été notifiée à l'appelante le 5 septembre 2012, l'appel, mis à la poste le 18 septembre 2012, a été interjeté en temps utile. Formé par une partie qui y a un intérêt, l'appel est formellement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Spühler, in Schweizerische Zivilprozessordnung, Bâle 2010, n. 1 ad art. 311 CPC, qui parle de "vollkommenes Rechtsmittel"). En l'espèce, l'état de fait de l'ordonnance attaquée, complété sur la base des pièces au dossier de première instance, est suffisant pour permettre à la cour de céans de statuer sur le fond.</w:t>
      </w:r>
    </w:p>
    <w:p>
      <w:r>
        <w:rPr>
          <w:b/>
        </w:rPr>
        <w:t>E. 3</w:t>
      </w:r>
    </w:p>
    <w:p>
      <w:r>
        <w:t>a) L'appelante fait valoir que le bailleur et intimé A.S.________, sous tutelle provisoire au sens de l'art. 386 CC (Code civil suisse du 10 décembre 1907; RS 210), était représenté par son tuteur lors de l'audience du 24 août 2012, sans qu'il n'apparaisse au dossier qu'une autorisation de plaider au sens de l'art. 421 ch. 8 CC n'ait été délivrée. Elle en déduit que le bailleur n'a pas pu valablement requérir l'expulsion de l'appelante. b) Si le fait de mandater un conseil, soit de conclure un contrat de mandat, n'est pas soumis au consentement de l'autorité tutélaire ou de l'autorité de surveillance (CTUT du 30 décembre 2009/272), il appartient néanmoins au tuteur, conformément à l'art. 421 ch. 8 CC, de demander l'autorisation de plaider, la procuration donnée à l'avocat n'étant valable que sous réserve de cette autorisation. En l'espèce, quoi qu'en dise l'appelante, une autorisation de plaider dans le cadre de la procédure d'expulsion ouverte à l'encontre de l'appelante a été délivrée le 13 juin 2012 par la Justice de paix du district du Gros-de-Vaud. Cette décision a été produite par l'intimé avec sa requête d'expulsion et figure au dossier de première instance, de sorte que l'argumentation de l'appelante tombe à faux. Pour le surplus, l'appelante ne conteste à juste titre pas que les conditions de l'art. 257d CO sont réalisées et ne pas avoir réglé les arriérés de loyer dans le délai comminatoire.</w:t>
      </w:r>
    </w:p>
    <w:p>
      <w:r>
        <w:rPr>
          <w:b/>
        </w:rPr>
        <w:t>E. 4</w:t>
      </w:r>
    </w:p>
    <w:p>
      <w:r>
        <w:t>En conclusion, l'appel, manifestement infondé, doit être rejeté dans la procédure de l'art. 312 al. 1 CPC et l'ordonnance entreprise confirmée. Les frais judiciaires de deuxième instance, arrêtés à 720 fr. (art. 62 al. 1 et 3 TFJC [tarif des frais judiciaires civils du 28 septembre 2010; RSV 270.11.5]), sont mis à la charge de l'appelante qui succombe (art. 106 al. 1 CPC). Il n'y a pas lieu à l'allocation de dépens de deuxième instance, l'intimé n'ayant pas été invité à se déterminer sur l'appel. Vu l'effet suspensif accordé à l'appel de par la loi (art. 315 al. 1 CPC), la cause doit être renvoyée au premier juge afin qu'il fixe à l'appelante,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