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669 vom 12. Oktober 2012</w:t>
      </w:r>
    </w:p>
    <w:p>
      <w:r>
        <w:t>VD Tribunal cantonal, 2012-10-12, FR</w:t>
      </w:r>
    </w:p>
    <w:p>
      <w:r>
        <w:rPr>
          <w:b/>
        </w:rPr>
        <w:t xml:space="preserve">Quelle: </w:t>
      </w:r>
      <w:r>
        <w:t>https://mcp.opencaselaw.ch/entscheid/vd_findinfo_HC___2012___669</w:t>
      </w:r>
    </w:p>
    <w:p>
      <w:r>
        <w:t>FR: VD_FINDINFO HC / 2012 / 669 du 12 octobre 2012</w:t>
      </w:r>
    </w:p>
    <w:p>
      <w:r>
        <w:t>IT: VD_FINDINFO HC / 2012 / 669 del 12 ottobre 2012</w:t>
      </w:r>
    </w:p>
    <w:p>
      <w:pPr>
        <w:pStyle w:val="Heading2"/>
      </w:pPr>
      <w:r>
        <w:t>Regeste</w:t>
      </w:r>
    </w:p>
    <w:p>
      <w:r>
        <w:t>DÉCISION D'IRRECEVABILITÉ, PROCÉDURE DE CONCILIATION, LOYER INITIAL, DÉFAUT{CONTUMACE}, RESTITUTION DU DÉLAI | 145 al. 1 CPC (CH), 145 al. 2 let. a CPC (CH), 148 CPC (CH), 206 al. 1 CPC (CH), 319 let. a CPC (CH), 320 CPC (CH), 322 al. 1 CPC (CH), 63 CPC (CH)</w:t>
      </w:r>
    </w:p>
    <w:p>
      <w:pPr>
        <w:pStyle w:val="Heading2"/>
      </w:pPr>
      <w:r>
        <w:t>Erwägungen</w:t>
      </w:r>
    </w:p>
    <w:p>
      <w:r>
        <w:rPr>
          <w:b/>
        </w:rPr>
        <w:t>E. 1</w:t>
      </w:r>
    </w:p>
    <w:p>
      <w:r>
        <w:t>a) Selon l'art. 63 CPC (Code de procédure civile du 19 décembre 2008; RS 272), si l'acte déclaré irrecevable pour cause d'incompétence est réintroduit dans le mois qui suit la déclaration d'irrecevabilité devant le tribunal compétent, l'instance est réputée introduite à la date du premier dépôt de l'acte. En l'espèce, se conformant à l'indication relative aux voies de droit figurant dans la décision attaquée, O.________ a d'abord adressé un acte de recours, le 3 août 2012, au Tribunal des baux, qui a déclaré celui-ci irrecevable par lettre du 14 août 2012. O.________ a ensuite interjeté recours le 29 août 2012 auprès de la Cour de céans, soit dans le mois suivant la déclaration d'irrecevabilité. L'acte de la recourante est par conséquent réputé avoir été introduit le 3 août 2012. b) La décision du premier juge refusant de fixer une nouvelle audience après avoir rayé la cause du rôle s'assimile à une décision finale, susceptible de recours (art. 319 let. a CPC). Le délai de recours est de trente jours (art. 321 al. 1 CPC). Déposé en temps utile par une partie qui y a un intérêt juridique, le recours est recevable.</w:t>
      </w:r>
    </w:p>
    <w:p>
      <w:r>
        <w:rPr>
          <w:b/>
        </w:rPr>
        <w:t>E. 2</w:t>
      </w:r>
    </w:p>
    <w:p>
      <w:r>
        <w:t>Le recours est recevable pour violation du droit et constatation inexacte des faits (art. 320 CPC). S'agissant de la violation du droit, l'autorité de recours dispose d'un plein pouvoir d'examen (Spühler, in Basler Kommentar, Schweizerische Zivilprozessordnung, Bâle 2010, n. 12 ad art. 319 CPC); elle revoit librement les questions de droit soulevées par le recourant et peut substituer ses propres motifs à ceux de l'autorité précédente ou du recourant (Hohl, Procédure civile, Tome lI, 2 e éd., Berne 2010, n. 2508).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Il y a d'abord lieu de déterminer si les féries prévues par l'art. 145 al. 1 CPC sont applicables à la procédure de conciliation. Le texte clair de l'art. 145 al. 2 let. a CPC, aux termes duquel la suspension des délais ne s'applique pas à la procédure de conciliation, l'exclut. C'est aussi l'avis de Staehelin (in Sutter-Somm/Hasenböhler/Leuenberger, Kommentar zur Schweizerischen Zivilprozessordnung, Zurich-Bâle-Genève 2010, n. 3 ad art. 145 CPC). Tappy (CPC commenté, Bâle 2011, nn. 6 ss et nn. 13-14 ad art. 145 CPC) est plus réservé. Cela étant, il faut admettre, en se fondant sur le texte légal, qu'il n'y a pas de féries en matière de procédure de conciliation. b) Il convient ensuite d'examiner si l'envoi sous pli simple du procès-verbal de l'audience du 5 juin 2012 à la recourante a eu pour effet de faire partir un nouveau délai pour en demander la restitution. Selon HohI (op. cit., n. 808), une nouvelle notification par la poste ne fait pas courir un nouveau délai (ATF 120 lII 3, JT 1996 ll 136; ATF 118 V 190; ATF 117 V 131). Il faut donc admettre que le délai de dix jours part du dernier jour où le pli aurait dû être retiré, étant précisé que la recourante devait s'attendre avec une vraisemblance certaine à recevoir l'acte judiciaire en question. En effet, lorsqu'une affaire est pendante, il se noue un rapport de procédure qui oblige les parties à se comporter selon les règles de la bonne foi. Lorsque, comme en l'espèce, le destinataire s'absente pour une période plus ou moins longue, on peut exiger de lui qu'il prenne les mesures nécessaires, notamment en désignant à cet effet un mandataire ou au moins un domicile de notification afin que les envois de l'autorité puissent lui être notifiés (ATF 117 III 4, JT 1993 II 47). Il ne pouvait échapper à la recourante, vu le contact téléphonique qu'elle a eu avec l'autorité de conciliation le jour de l'audience, qu'une décision allait être prise. Or, l'intéressée n'a rien fait pour faire en sorte de réceptionner le pli. Cette négligence lui est dès lors opposable et la fiction de notification s'applique (HohI, op. cit., nn. 799 ss). En l'occurrence, le pli a été expédié le 14 juin 2012. Le délai de sept jours expirait le 21 juin suivant. A l'issue du délai de garde, la recourante disposait d'un délai de dix jours pour demander la restitution du délai au sens de l'art. 148 CPC, soit jusqu'au 2 juillet 2012, le 1 er juillet étant un dimanche. La requête, expédiée le 17 juillet 2012, est ainsi manifestement tardive. c) Selon l'art. 206 al. 1 CPC, en cas de défaut du demandeur, la requête est considérée comme retirée, la procédure devient sans objet et l'affaire est rayée du rôle. C'est ce qu'a constaté l'autorité de première instance en l'espèce. Sa décision, qui échappe à la critique, doit être confirmée.</w:t>
      </w:r>
    </w:p>
    <w:p>
      <w:r>
        <w:rPr>
          <w:b/>
        </w:rPr>
        <w:t>E. 4</w:t>
      </w:r>
    </w:p>
    <w:p>
      <w:r>
        <w:t>En définitive, le recours doit être rejeté, en application de l'art. 322 al. 1 CPC, et la décision attaquée confirmée. Les frais judiciaires de deuxième instance, arrêtés à 100 fr. (art. 69 al. 1 TFJC [tarif des frais judiciaires civils du 28 septembre 2010; RSV 270.11.5]), sont mis à la charge de la recourante, qui succombe (art. 106 CPC). L'intimée Ville de F.________ n'ayant pas été invitée à se déterminer, il n'y a pas lieu à l'octroi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O.________. IV. L'arrêt motivé est exécutoire. Le président :               Le greffier : Du 12 octobre 2012 Le dispositif de l'arrêt qui précède est communiqué par écrit aux intéressés. Le greffier : Du L'arrêt qui précède, dont la rédaction a été approuvée à huis clos, est notifié en expédition complète, par l'envoi de photocopies, à : ‑ Me Nicolas Mattenberger (pour O.________), ‑ M. [...], [...] SA (pour la Ville de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de la Préfecture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