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667 vom 25. Oktober 2012</w:t>
      </w:r>
    </w:p>
    <w:p>
      <w:r>
        <w:t>VD Tribunal cantonal, 2012-10-25, FR</w:t>
      </w:r>
    </w:p>
    <w:p>
      <w:r>
        <w:rPr>
          <w:b/>
        </w:rPr>
        <w:t xml:space="preserve">Quelle: </w:t>
      </w:r>
      <w:r>
        <w:t>https://mcp.opencaselaw.ch/entscheid/vd_findinfo_HC___2012___667</w:t>
      </w:r>
    </w:p>
    <w:p>
      <w:r>
        <w:t>FR: VD_FINDINFO HC / 2012 / 667 du 25 octobre 2012</w:t>
      </w:r>
    </w:p>
    <w:p>
      <w:r>
        <w:t>IT: VD_FINDINFO HC / 2012 / 667 del 25 ottobre 2012</w:t>
      </w:r>
    </w:p>
    <w:p>
      <w:pPr>
        <w:pStyle w:val="Heading2"/>
      </w:pPr>
      <w:r>
        <w:t>Regeste</w:t>
      </w:r>
    </w:p>
    <w:p>
      <w:r>
        <w:t>EXPULSION DE LOCATAIRE, TERME COMMINATOIRE, BAIL À LOYER, RÉSILIATION IMMÉDIATE | 257d al. 1 CO, 257d al. 2 CO</w:t>
      </w:r>
    </w:p>
    <w:p>
      <w:pPr>
        <w:pStyle w:val="Heading2"/>
      </w:pPr>
      <w:r>
        <w:t>Erwägungen</w:t>
      </w:r>
    </w:p>
    <w:p>
      <w:r>
        <w:rPr>
          <w:b/>
        </w:rPr>
        <w:t>E. 1</w:t>
      </w:r>
    </w:p>
    <w:p>
      <w:r>
        <w:t>L’art. 308 al. 1 et 2 CPC (Code de procédure civile du 19 décembre 2008 ; RS 272) ouvre l’appel contre les décisions finales et incidentes de première instance pour autant que, s’agissant d’affaires patrimoniales, la valeur litigieuse soit de 10'000 fr. au moins. Lorsque le recours porte sur le bien-fondé de la mesure d’expulsion, la valeur litigieuse se calcule selon le droit fédéral : le congé donné dans les trois ans suivant la fin de la procédure judiciaire est présumé abusif (art 271a al. 1 let. e CO [Code des obligations du 30 mars 1911, RS 220] ; Lachat, Le bail à loyer, Lausanne 2008, pp. 749 ss). En l’espèce toutefois, le recourant conclut à ce que la durée du bail soit prolongée de six mois si bien que la valeur litigieuse se calcule en fonction de la prolongation sollicitée, soit, en l’occurrence, six mois à partir de la date du congé présumé abusif (30 avril 2012). Le loyer contractuel étant de 545 fr. par mois, charges non comprises, la valeur litigieuse n’atteint pas 10'000 francs. La voie de l'appel n'étant pas ouverte pour défaut de valeur litigieuse, l'acte du 13 septembre 2012 doit être traité en tant que recours (art. 319 let. a CPC), si bien que la Chambre des recours civile est compétente. Déposé en temps utile par une partie qui a un intérêt juridique,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BaslerKommentar,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demande à être entendu une nouvelle fois. b) Selon l'art. 327 al. 2 CPC, l'instance de recours peut statuer sur pièces. Telle qu'exprimée, cette faculté signifie que l'autorité de recours n'est pas tenue d'ouvrir les débats et peut, en fonction de son appréciation, statuer à la suite des échanges d'écritures (Jeandin, CPC Commenté, Bâle 2011, n. 4 ad art. 327 CPC, p. 1286). c) Dans le cas d'espèce, le recourant a déjà été entendu par le premier juge. La situation de fait est claire et non contestée. Dès lors, il n'y a aucun motif de tenir de nouveaux débats.</w:t>
      </w:r>
    </w:p>
    <w:p>
      <w:r>
        <w:rPr>
          <w:b/>
        </w:rPr>
        <w:t>E. 4</w:t>
      </w:r>
    </w:p>
    <w:p>
      <w:r>
        <w:t>a) Le recourant estime que le délai d'expulsion est trop court et que l'approche de l'hiver ne lui permet pas d'envisager des solutions viables.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il est établi que le recourant a été en retard dans le paiement des loyers réclamés. Le délai de trente jours imparti par la sommation notifiée le 1 er février 2012 a commencé à courir au plus tard le dernier jour de l’échéance du délai de garde postal de sept jours, soit dès le 11 février 2012 (ATF 119 Il 147, JT 1994 I 205 ; Lachat, op. cit., p. 667; SVIT, Das schweizerische Mietrecht, 3 e éd., Zurich 2008, n. 28 ad art. 257d CO, pp. 134-135). Ce délai est arrivé à échéance le 12 mars 2012 et le recourant n’a pas établi avoir réglé l’intégralité de l’arriéré en cause à cette date. L’article 257d CO donnait dès lors à l’intimée le droit de résilier le bail, moyennant un délai de trente jours, ce qu’elle a fait le 22 mars 2012, pour le 30 avril 2012, et de requérir l’expulsion de son locataire. Vu la jurisprudence susmentionnée, les conséquences pour le recourant résultant de la résiliation du bail ne permettent plus de faire obstacle au droit conféré au bailleur par l’art. 257d CO. Ainsi, le moyen du recourant est mal fondé.</w:t>
      </w:r>
    </w:p>
    <w:p>
      <w:r>
        <w:rPr>
          <w:b/>
        </w:rPr>
        <w:t>E. 5</w:t>
      </w:r>
    </w:p>
    <w:p>
      <w:r>
        <w:t>En définitive, l’ordonnance querellée doit être confirmée et le recours rejeté en application de l'art. 322 al. 1 CPC. Vu le rejet du recours, les frais judiciaires de deuxième instance, arrêtés à 200 fr. (art. 69 al. 1 et 70 al. 1 TFJC [tarif du 28 septembre 2010 des frais judiciaires civils, RSV 270.11.5]) sont mis à la charge du recourant (art. 106 al. 1 CPC). Il n’est en revanche pas alloué de dépens, la partie bailleresse n’ayant pas été invitée à se déterminer sur le recours.</w:t>
      </w:r>
    </w:p>
    <w:p>
      <w:r>
        <w:rPr>
          <w:b/>
        </w:rPr>
        <w:t>E. 6</w:t>
      </w:r>
    </w:p>
    <w:p>
      <w:r>
        <w:t>Dès lors que l’effet suspensif a été accordé au recours, la cause est renvoyée au premier juge afin qu’il fixe un nouveau délai au recourant pour libérer les locaux occupés dans l’immeuble sis [...], à Lausanne, une fois les considérants écrits du présent arrêt envoyés pour notification aux parties.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du recourant O.________. IV. La cause est renvoyée au juge de paix du district de Lausanne afin qu'il fixe à [...], une fois les considérants écrits du présent arrêt envoyés pour notification aux parties, un nouveau délai pour libérer les locaux qu'il occupe dans l'immeuble sis [...], à Lausanne. V. L'arrêt motivé est exécutoire. Le président :               Le greffier : Du 26 octobre 2012 Le dispositif de l'arrêt qui précède est communiqué par écrit aux intéressés. Le greffier : Du L'arrêt qui précède, dont la rédaction a été approuvée à huis clos, est notifié en expédition complète, par l'envoi de photocopies, à : ‑ M. O.________, ‑ La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