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660 vom 18. Oktober 2012</w:t>
      </w:r>
    </w:p>
    <w:p>
      <w:r>
        <w:t>VD Tribunal cantonal, 2012-10-18, FR</w:t>
      </w:r>
    </w:p>
    <w:p>
      <w:r>
        <w:rPr>
          <w:b/>
        </w:rPr>
        <w:t xml:space="preserve">Quelle: </w:t>
      </w:r>
      <w:r>
        <w:t>https://mcp.opencaselaw.ch/entscheid/vd_findinfo_HC___2012___660</w:t>
      </w:r>
    </w:p>
    <w:p>
      <w:r>
        <w:t>FR: VD_FINDINFO HC / 2012 / 660 du 18 octobre 2012</w:t>
      </w:r>
    </w:p>
    <w:p>
      <w:r>
        <w:t>IT: VD_FINDINFO HC / 2012 / 660 del 18 ottobre 2012</w:t>
      </w:r>
    </w:p>
    <w:p>
      <w:pPr>
        <w:pStyle w:val="Heading2"/>
      </w:pPr>
      <w:r>
        <w:t>Regeste</w:t>
      </w:r>
    </w:p>
    <w:p>
      <w:r>
        <w:t>PROTECTION DE L'UNION CONJUGALE, DROIT DE GARDE, OBLIGATION D'ENTRETIEN | 176 al. 1 ch. 1 CC, 176 al. 1 ch. 2 CC, 176 al.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en partie non patrimoniales,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 En l’espèce, le litige porte notamment sur le sort d’enfants mineurs, de sorte que les pièces produites en deuxième instance sont recevables ; elles ont ainsi été prises en compte dans la mesure de leur utilité pour l’examen de la cause.</w:t>
      </w:r>
    </w:p>
    <w:p>
      <w:r>
        <w:rPr>
          <w:b/>
        </w:rPr>
        <w:t>E. 3</w:t>
      </w:r>
    </w:p>
    <w:p>
      <w:r>
        <w:t>a) L'appelante conclut à ce que la garde des enfants A.H.________ et B.H.________ lui soit confiée. Elle considère le père comme étant incapable d'assumer la garde complète des deux enfants. Elle indique que l'intimé a été totalement débordé par la garde d'un enfant en bas âge et que, dès 2007, il a été aidé par la présence de filles au pair, puis d'une maman de jour. Elle se réfère au contenu du certificat médical du Dr. F.________ du 23 mars 2012 pour étayer le fait que Y.________ rencontre des problèmes dans son rôle de père au foyer. Elle précise que, malgré la présence des jeunes filles, elle s'occupait personnellement de ses enfants tous les matins jusqu'au début de l'école de A.H.________ et tous les soirs au retour du travail, ainsi que chaque week-end. Elle rappelle par ailleurs la volonté commune du couple qui était que l'appelante réduise son taux d'activité à 80 % et que l'intimé retrouve une activité professionnelle. Elle prétend par ailleurs présenter un gage de stabilité pour les enfants, dès lors qu'elle travaille dans la région et n'a aucune intention de quitter la Suisse, ce qui n'est pas le cas du père. Elle stigmatise en outre le comportement de celui-ci, qui lui vouerait une haine inconsidérée. b) En vertu de l'art. 176 al. 3 CC (Code civil suisse du 10 décembre 1907, RS 210) relatif à l'organisation de la vie séparée, applicable par le renvoi de l’art. 276 CPC,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 les principes posés par la jurisprudence et la doctrine en matière de divorce sont alors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Par ailleurs,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TF 5A_181/2008 du 25 avril 2008, in FamPra.ch 4/2008, n. 104, p. 98 ; TF 5C.238/2005 du 2 novembre 2005, in FamPra.ch 2006, n. 20, p. 193). Enfin,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4e éd., Zurich 2009, n. 452, p. 287 ; Juge délégué CACI 5 avril 2011/27). c) Quoi qu'en dise l'appelante, on ne saurait mettre en doute les capacités éducatives du père sur la base du seul certificat médical du Dr F.________ du 23 mars 2012, lequel fait état de "palpitations cardiaques liées au stress de son activité à plein temps de père au foyer de deux enfants en bas âge". Il montre bien plus l'engagement complet du père aux côtés de ses filles et l'investissement personnel donné à cette tâche, ce qui est confirmé par le contenu du certificat médical du 3 septembre 2012 nouvellement produit. On ne saurait par ailleurs lui reprocher d'avoir voulu retrouver une meilleure hygiène de vie – à travers l'aménagement de loisirs et la pratique d'une activité sportive –, ce qui avait du reste motivé sa démarche auprès du Dr. F.________. En outre, on ne saurait déduire du contenu du courriel adressé par l'intimé à une de ses amies en décembre 2011 qu'il aurait l'intention de quitter la région où vivent actuellement ses filles, ce qui serait un vecteur d'instabilité pour ces dernières. Le rachat de la maison, plus précisément de la part de son épouse, par une tierce personne, qui apparaît dans un autre courriel, plaide même en sens contraire. Force est dès lors de constater que les perspectives de changement dans la vie de l'intimé ne sont pas suffisamment rendues vraisemblables. Il n'y a donc pas lieu d'en tenir compte. On ne saurait enfin stigmatiser le comportement de l'intimé à l'égard de l'appelante sous l'angle d'un défaut de dialogue constructif en ce qui concerne les enfants, dès lors qu'il a accepté la pratique d'une garde partagée, comme du reste souligné par l'appelante. S'agissant des clichés produits – qui semblent se rapporter tant à l'intimé qu'à l'appelante dans le cadre de leur vie intime –, ils ne concernent en rien les enfants et ne sauraient être pris en compte dans l'examen de l'octroi de la garde. L'intimé est disponible à 100 % pour s'occuper de ses filles, ce qui n'est pas le cas de l'appelante, qui précise même à l'appui de son appel ne pas pouvoir "se permettre de réduire son taux de travail avant que l'intimé ait un revenu et/ou que la villa soit vendue". L'octroi de la garde des enfants au père a par ailleurs l'avantage d'être le plus fidèle au modèle majoritairement choisi jusqu'ici. Aucun élément ne plaide ainsi en faveur d'une autre solution que celle arrêtée par le premier juge. Il y a donc lieu de confirmer le prononcé entrepris sur la question de l'octroi de la garde des enfants au père. Cette solution s'impose d'autant plus si les problèmes de santé rencontrés par l'appelante en août et septembre 2012, qui ont conduit à une incapacité totale de travail, devaient perdurer.</w:t>
      </w:r>
    </w:p>
    <w:p>
      <w:r>
        <w:rPr>
          <w:b/>
        </w:rPr>
        <w:t>E. 4</w:t>
      </w:r>
    </w:p>
    <w:p>
      <w:r>
        <w:t>a) Sans prendre de conclusions formelles sur ce point, l'appelante critique la non-mise en œuvre d'une enquête sociale diligentée par le Service de protection de la jeunesse (SPJ) ou d'une expertise pédopsychiatrique, demandée, à ses dires, par les parties. b)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 pour se prononcer sur le bien de l'enfant ; il jouit à cet égard d'un large pouvoir d'appréciation (TF 5A_146/2011 du 7 juin 2011 c. 4.1 ; TF 5A_798/2009 du 4 mars 2010 c. 3.1 et les réf. citées, non publié in ATF 136 I 118). En mesures protectrices,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résumé in RMA 2012 p. 298). c) En l'espèce, il sied tout d'abord d'observer que l'appelante s'était opposée, en première instance, à l'administration du moyen de preuve présentement discuté. Sa prise de position actuelle, qui conteste la décision du premier juge sur ce point, est pour le moins surprenante. Cela étant dit, il ne découle pas des actes de la cause que l'intérêt des enfants serait menacé par l'octroi de la garde au père. Il n'y a aucun indice de suspicion à l'égard de ce dernier. Les déclarations d'L.________, qui fait état de "réactions irraisonnées de M. Y.________" sont sans aucune portée, puisqu'elles ne font que relater les dires de l'appelante ; elles ne sont corroborées par aucun autre élément du dossier. Sur cette base, le premier juge était fondé à refuser l'administration d'un rapport d'évaluation ou d'une expertise pédopsychiatrique portant sur la capacité éducative des parents et notamment l'aptitude de chacun d'eux à collaborer avec l'autre. On ne décèle en l'état aucun abus du pouvoir d'appréciation du premier juge.</w:t>
      </w:r>
    </w:p>
    <w:p>
      <w:r>
        <w:rPr>
          <w:b/>
        </w:rPr>
        <w:t>E. 5</w:t>
      </w:r>
    </w:p>
    <w:p>
      <w:r>
        <w:t>Au regard des considérants qui précèdent, il se justifie de maintenir l'organisation de l'exercice du droit de visite, telle que prévue par le premier juge, de même que l'attribution de la jouissance du domicile conjugal à l'intimé, l'appelante devant en assumer les frais et charges courante – ce qu'elle admet implicitement pour le cas où la garde des enfants et la jouissance du domicile conjugal seraient attribuées au père.</w:t>
      </w:r>
    </w:p>
    <w:p>
      <w:r>
        <w:rPr>
          <w:b/>
        </w:rPr>
        <w:t>E. 6</w:t>
      </w:r>
    </w:p>
    <w:p>
      <w:r>
        <w:t>a)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 Perrin, La méthode du minimum vital, in SJ 1993, p. 447).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la fixation de la contribution d’entretien ne devant en effet pas anticiper sur la liquidation du régime matrimonial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 29 ad art. 176 CC). C'est au créancier de la contribution d'entretien qu'il incombe de préciser les dépenses nécessaires à son train de vie et de les rendre vraisemblables (ATF 115 II 424 c. 2 ; TF 5A_732/2007 du 4 avril 2008 c. 2.2).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 e éd., Zurich 2009, n. 982, p. 571, note infrapaginale 2118). Les forfaits pour frais ne sont pris en compte en tant que revenu que pour la part qui dépasse les frais effectifs (TF 5C_282/2002 du 27 mars 2003, c. 2.2) ; il incombe au salarié d'établir cette part (TF 5P.5/2007 du</w:t>
      </w:r>
    </w:p>
    <w:p>
      <w:r>
        <w:rPr>
          <w:b/>
        </w:rPr>
        <w:t>E. 9</w:t>
      </w:r>
    </w:p>
    <w:p>
      <w:r>
        <w:t>a) Dans sa réponse à l'appel, l'intimé demande à pouvoir bénéficier de l'assistance judiciaire, avec effet rétroactif au 27 août 2012. b) Il est de jurisprudence que le devoir de l'Etat d'accorder l'assistance judiciaire au plaideur indigent dans un procès non dénué de chances de succès passe après l'obligation d'assistance et d'entretien prévue par le droit de la famille non seulement dans les rapports entre parents et enfants mineurs, mais aussi dans les rapports entre époux. Lorsque, grâce à l'octroi d'une provision ad litem, une partie peut faire l'avance des frais de procès, l'Etat ne saurait être appelé à lui octroyer l'assistance judiciaire (ATF 103 Ia 99 c. 4 ; TF 5P.31/2004 du 26 avril 2004 ; TF 4A_423/2012). c) En l'espèce, le premier juge a rejeté la conclusion de l'intimé en versement d'une provision ad litem, au motif que celui-ci a mis de côté environ 50'000 fr. provenant des économies des époux et qu'il a ainsi les moyens financiers suffisants pour assumer les honoraires de son conseil. Ce point n'a pas été contesté par l'intimé, puisque ce dernier n'a pas interjeté appel. Sur cette base, il convient de rejeter la requête d'assistance judiciaire –, subsidiaire –, ce d'autant que la condition d'indigence n'est en l'état pas réalisée. Il ressort en effet du formulaire produit que l'intimé bénéficie encore de quelque 10'000 fr. d'économies. Il échoue du reste à rendre vraisemblable le montant des dettes évoquées de l'ordre de 12'000 francs.</w:t>
      </w:r>
    </w:p>
    <w:p>
      <w:r>
        <w:rPr>
          <w:b/>
        </w:rPr>
        <w:t>E. 10</w:t>
      </w:r>
    </w:p>
    <w:p>
      <w:r>
        <w:t>En conclusion, l'appel doit être partiellement admis. L'appelante échoue sur l'ensemble des questions soulevées, à l'exception de la question du bonus. Il se justifie dès lors de répartir les frais judiciaires de deuxième instance, arrêtés à 600 fr., à raison de 500 fr. à la charge de l'appelante et à raison de 100 fr. à la charge de l'intimé. L'appelante versera à l'intimé la somme de 1'600 fr. à titre de dépens réduits de deuxième instance. Par ces motifs, le juge délégué de la Cour d’appel civile du Tribunal cantonal, statuant à huis clos, prononce : I. L'appel est partiellement admis. II. L'ordonnance est réformée au chiffre VIII du dispositif comme suit : VIII.   (supprimé) L'ordonnance est confirmée pour le surplus. III. La requête d'assistance judiciaire de Y.________ est rejetée. IV. Les frais judiciaires de deuxième instance, arrêtés à 600 fr. (six cents francs), sont mis à la charge de l'appelante B.________ à raison de 500 fr. (cinq cents francs) et à la charge de l'intimé Y.________ à raison de 100 fr. (cent francs). V. L'intimé Y.________ doit verser à l'appelante B.________ la somme de 100 fr. (cent francs) à titre de restitution partielle d'avance de frais de deuxième instance. VI. L'appelante B.________ versera à l'intimé Y.________ la somme de 1'600 fr. (mille six cents francs) à titre de dépens réduits de deuxième instance. VII. L'arrêt motivé est exécutoire. Le juge délégué : La greffière : Du 23 octobre 2012. Le dispositif de l'arrêt qui précède est communiqué par écrit aux intéressés. La greffière : Du L'arrêt qui précède, dont la rédaction a été approuvée à huis clos, est notifié en expédition complète, par l'envoi de photocopies à : ‑ Me Nicole Wiebach (pour B.________), ‑ Me Colette Chable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