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66 vom 26. Januar 2012</w:t>
      </w:r>
    </w:p>
    <w:p>
      <w:r>
        <w:t>VD Tribunal cantonal, 2012-01-26, FR</w:t>
      </w:r>
    </w:p>
    <w:p>
      <w:r>
        <w:rPr>
          <w:b/>
        </w:rPr>
        <w:t xml:space="preserve">Quelle: </w:t>
      </w:r>
      <w:r>
        <w:t>https://mcp.opencaselaw.ch/entscheid/vd_findinfo_HC___2012___66</w:t>
      </w:r>
    </w:p>
    <w:p>
      <w:r>
        <w:t>FR: VD_FINDINFO HC / 2012 / 66 du 26 janvier 2012</w:t>
      </w:r>
    </w:p>
    <w:p>
      <w:r>
        <w:t>IT: VD_FINDINFO HC / 2012 / 66 del 26 gennaio 2012</w:t>
      </w:r>
    </w:p>
    <w:p>
      <w:pPr>
        <w:pStyle w:val="Heading2"/>
      </w:pPr>
      <w:r>
        <w:t>Regeste</w:t>
      </w:r>
    </w:p>
    <w:p>
      <w:r>
        <w:t>ASSISTANCE JUDICIAIRE | 29 al. 3 Cst., 117 CPC (CH), 319 let. b CPC (CH)</w:t>
      </w:r>
    </w:p>
    <w:p>
      <w:pPr>
        <w:pStyle w:val="Heading2"/>
      </w:pPr>
      <w:r>
        <w:t>Erwägungen</w:t>
      </w:r>
    </w:p>
    <w:p>
      <w:r>
        <w:rPr>
          <w:b/>
        </w:rPr>
        <w:t>E. 1</w:t>
      </w:r>
    </w:p>
    <w:p>
      <w:r>
        <w:t>Le prononcé attaqué ayant été communiqué aux parties le 1 er novembre 2011, le CPC (Code de procédure civile du 19 décembre 2008; RS 272) est applicable au présent recours (art. 405 al. 1 CPC), même si la procédure au fond opposant les parties a été initiée avant son entrée en vigueur, le 1 er janvier 2011 (ATF 137 III 424, JT 2011 II 126).</w:t>
      </w:r>
    </w:p>
    <w:p>
      <w:r>
        <w:rPr>
          <w:b/>
        </w:rPr>
        <w:t>E. 2</w:t>
      </w:r>
    </w:p>
    <w:p>
      <w:r>
        <w:t>La voie du recours de l'art. 319 al. 1 let b CPC est ouverte contre les décisions refusant l'assistance judiciaire (art. 121 CPC). Le recours, écrit et motivé (art. 321 al. 1 CPC), doit s'exercer dans un délai de dix jours (art 321 al. 2 CPC). En l'espèce, motivé et déposé en temps utile, par une partie qui y a intérêt, le recours est recevable. Il n'en est pas de même du "complément de recours", déposé le 30 novembre 2011, et des pièces qui y sont jointes, pour les raisons qui ont été indiquées ci-dessus (partie "En fait", let. B).</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ZPO, p. 1504).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4</w:t>
      </w:r>
    </w:p>
    <w:p>
      <w:r>
        <w:t>Le recourant fait implicitement valoir que le premier juge n'a pas fait une application correcte de l'art. 117 CPC et qu'il a fait preuve d'arbitraire dans l'appréciation des preuves et des faits qui lui ont été soumis (cf. recours, p. 6 in fine).</w:t>
      </w:r>
    </w:p>
    <w:p>
      <w:r>
        <w:rPr>
          <w:b/>
        </w:rPr>
        <w:t>E. 4.1</w:t>
      </w:r>
    </w:p>
    <w:p>
      <w:r>
        <w:t>En vertu de l'art. 117 CPC ,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du 18 avril 1999; RS 101).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Commentaire de la LTF, 2009, ad. art. 64 LTF, n. 17 et ss.). Savoir quels critères il faut prendre en considération pour admettre l'indigence relève du droit; la détermination des actifs et passifs relèvent en revanche du fait (ATF 120 Ia 179). Il incombe donc au requérant de prouver les faits qui permettent de constater son indigence (Corboz, op. cit., n. 20).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des art. 29 al. 3 Cst et 117 CPC, le Tribunal fédéral a précisé qu'elle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w:t>
      </w:r>
    </w:p>
    <w:p>
      <w:r>
        <w:rPr>
          <w:b/>
        </w:rPr>
        <w:t>E. 4.2</w:t>
      </w:r>
    </w:p>
    <w:p>
      <w:r>
        <w:t>a) Le recourant fait valoir (cf. recours, ch. 1) que, hormis son revenu imposable annuel de 52'981 dollars, sa seule fortune serait une part non réalisable du domaine viticole familial estimée à 500'000 dollars, domaine qui est exploité par son fils B.T.________. Le premier juge a retenu à cet égard, à juste titre (cf. prononcé, p. 5), que le recourant n’avait pas établi que cette part ne serait pas réalisable, soit qu’il ne pourrait la vendre, ou l’engager ou qu’elle ne pourrait lui procurer un crédit. Pour évaluer l'existence de ressources suffisantes dans le cadre d'une requête d'assistance judiciaire, le juge doit tenir compte de l’existence d’un bien-fonds pouvant être engagé et pouvant procurer à l’intéressé un crédit lui permettant de payer les frais du procès (ATF 118 Ia 369, JT 1995 I 541; cités in Tappy, CPC commenté, n. 24 ad art. 117 CPC). Des biens ne correspondant pas à des valeurs liquides ou aisément négociables entrent également en considération dans la mesure où l’on peut attendre du requérant qu’il les engage ou les vende, quitte à ce qu’un délai lui soit laissé pour ce faire; les biens sont présumés disponibles même lorsque le requérant les possède en commun avec d’autres (Tappy, op. cit., n. 25 ad art. 117 CPC). En l’espèce, on ne voit pas, malgré les arguments soulevés par le recourant (cf. recours, p. 6, ad c), que celui-ci ne pourrait obtenir un crédit – par exemple dans le cadre familial - pour sa part du domaine viticole exploité par son fils; l’appréciation du premier juge sur ce point ne peut donc être tenue pour arbitraire. b) Le recourant fait aussi valoir (cf. recours, ch. 2, pp. 4-5) qu’un document produit par la partie adverse serait tronqué (pièce 5 du bordereau de pièces du 5 septembre 2011) et qu’une lettre du 2 janvier 2004, produite par l’intimée A.Q.________, en rapport avec ce document, ne serait pas authentique. Il reproche au premier juge, en substance, d’avoir préféré les déclarations de la partie adverse, « reconnue de recel successoral », à des documents officiels incontestables. Dans la mesure où le premier juge ne s’est pas appuyé, dans son prononcé, sur les pièces critiquées, mais où il a relevé que le requérant, tout en contestant ces pièces, avait affirmé être propriétaire d’actions pour une valeur de 5'500'000 dollars canadiens et avoir des biens considérables en France, en ne soutenant pas avoir fait une fausse déclaration en justice (pièce 22 du bordereau de pièces du 5 septembre 2011), on ne saurait reprocher au juge une appréciation arbitraire de ces éléments, ce d’autant moins qu’il a précisé dans son prononcé que « ces éléments, s’ils ne permettent pas de définir avec précision la situation financière du requérant, indiquent toutefois clairement que celui-ci dispose de ressources largement suffisantes pour financer le procès en cours ». Le prononcé n'est donc pas critiquable, y compris sur ce point. c) Enfin, le recourant reproche, en substance, au premier juge (cf. recours, ch. 3, p. 5) d’avoir retenu que, malgré le blocage dû aux nombreuses et longues procédures qui l'opposent aux intimés, il avait des actifs « réalisables ». Il ressort du prononcé attaqué (cf. p. 5) « qu’au vu des sommes litigieuses entre les parties dans les différentes procédures en cours entre elles, il faut comprendre que le requérant faisait état de montants très considérables ». Selon la jurisprudence et la doctrine applicables, les éléments de fortune réels, frappés d’une mesure de blocage, n'excluent pas l’assistance judiciaire (cf. ATF 119 Ia 11 c. 5 ; 118 Ia 369 c. 4b ; cités in Tappy, CPC commenté, n. 25 ad art. 117, p. 473). En l'espèce, les arguments que le recourant fait valoir à cet égard (cf. recours, p. 5 in fine) ne sont toutefois pas propres à établir des mesures concrètes de blocage de ses actifs. Quant à sa participation prétendument minoritaire dans des sociétés anonymes familiales administrées par le clan A.Q.________, qui connaîtrait de nombreux conflits, et au fait qu’il n’aurait touché aucun dividende depuis des années (p. 6 ad b), il ne s'agit pas là d'arguments qui, nonobstant une certaine difficulté à réaliser ces avoirs, établissent une impossibilité de les engager. Ce moyen ne saurait donc davantage être admis.</w:t>
      </w:r>
    </w:p>
    <w:p>
      <w:r>
        <w:rPr>
          <w:b/>
        </w:rPr>
        <w:t>E. 4.3</w:t>
      </w:r>
    </w:p>
    <w:p>
      <w:r>
        <w:t>Les moyens du recourant étant mal fondés, point n'est besoin d'examiner plus avant la condition posée par l'art. 117 let. b CPC (cf. recours, ch. 4, p. 7).</w:t>
      </w:r>
    </w:p>
    <w:p>
      <w:r>
        <w:rPr>
          <w:b/>
        </w:rPr>
        <w:t>E. 5</w:t>
      </w:r>
    </w:p>
    <w:p>
      <w:r>
        <w:t>En conclusion, le recours est rejeté et le prononcé confirmé. Le présent arrêt est rendu sans frais judiciaires (art. 119 al. 6 CPC), ni dépens, la partie adverse n'ayant pas été invitée à se déterminer. Par ces motifs, la Chambre des recours civile du Tribunal cantonal, statuant à huis clos, en application de l'art. 322 al. 1 CPC, prononce : I. Le recours est rejeté. II. Le jugement est confirmé. III. Il n'est pas perçu de frais judiciaires de deuxième instance. IV. L'arrêt motivé est exécutoire. Le président :               La greffière : Du 30 janvier 2012 Le dispositif de l'arrêt qui précède est communiqué par écrit aux intéressés. La greffière : Du L'arrêt qui précède, dont la rédaction a été approuvée à huis clos, est notifié en expédition complète, par l'envoi de photocopies, à : ‑ Me Daniel Pache (pour A.S.________).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