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657 vom 29. Oktober 2012</w:t>
      </w:r>
    </w:p>
    <w:p>
      <w:r>
        <w:t>VD Tribunal cantonal, 2012-10-29, FR</w:t>
      </w:r>
    </w:p>
    <w:p>
      <w:r>
        <w:rPr>
          <w:b/>
        </w:rPr>
        <w:t xml:space="preserve">Quelle: </w:t>
      </w:r>
      <w:r>
        <w:t>https://mcp.opencaselaw.ch/entscheid/vd_findinfo_HC___2012___657</w:t>
      </w:r>
    </w:p>
    <w:p>
      <w:r>
        <w:t>FR: VD_FINDINFO HC / 2012 / 657 du 29 octobre 2012</w:t>
      </w:r>
    </w:p>
    <w:p>
      <w:r>
        <w:t>IT: VD_FINDINFO HC / 2012 / 657 del 29 ottobre 2012</w:t>
      </w:r>
    </w:p>
    <w:p>
      <w:pPr>
        <w:pStyle w:val="Heading2"/>
      </w:pPr>
      <w:r>
        <w:t>Regeste</w:t>
      </w:r>
    </w:p>
    <w:p>
      <w:r>
        <w:t>PROTECTION DE L'UNION CONJUGALE, DROIT DE GARDE | 176 al. 1 CC, 176 al. 1 ch. 1 CC, 176 al. 3 CC, 176 CC</w:t>
      </w:r>
    </w:p>
    <w:p>
      <w:pPr>
        <w:pStyle w:val="Heading2"/>
      </w:pPr>
      <w:r>
        <w:t>Erwägungen</w:t>
      </w:r>
    </w:p>
    <w:p>
      <w:r>
        <w:rPr>
          <w:b/>
        </w:rPr>
        <w:t>E. 1</w:t>
      </w:r>
    </w:p>
    <w:p>
      <w:r>
        <w:t>L’appel est recevable contre les décisions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décisions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non patrimoniales,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 soutient que la garde des enfants X.________, Y.________ et Z.________ devrait lui être attribuée. Il fait valoir que l’intimée a un emploi du temps chargé et irrégulier, de sorte qu’elle est peu disponible pour les enfants, en particulier le soir, lorsque ceux-ci ont le plus besoin de la présence d’un parent. Selon l’appelant, l’attribution de la garde à l’intimée ferait ainsi peser sur l’enfant X.________ la responsabilité de s’occuper de ses frères la semaine et le week-end, ce qui ne serait pas acceptable s’agissant d’un enfant de 17 ans. L’appelant relève qu’il ne travaille pour sa part que du lundi au vendredi, de 7 h à 16 h 30, de sorte qu’il pourrait s’occuper de ses enfants le soir et durant le week-end. L’appelant reproche par ailleurs au premier juge de ne pas avoir suivi la volonté de l’enfant X.________, de ne pas avoir attendu de pouvoir procéder à l’audition de l’enfant Y.________ et de ne pas avoir tenu compte de l’opinion de ce dernier exprimée par l’intermédiaire de son grand frère. b) En vertu de l'art. 176 al. 3 CC (Code civil suisse du 10 décembre 1907, RS 210) relatif à l'organisation de la vie séparée, applicable par le renvoi de l’art. 276 CPC,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 les principes posés par la jurisprudence et la doctrine en matière de divorce sont alors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Par ailleurs,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TF 5A_181/2008 du 25 avril 2008, in FamPra.ch 4/2008, n. 104, p. 98 ; TF 5C.238/2005 du 2 novembre 2005, in FamPra.ch 2006, n. 20, p. 193). Enfin,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4e éd., Zurich 2009, n. 452, p. 287 ; Juge délégué CACI</w:t>
      </w:r>
    </w:p>
    <w:p>
      <w:r>
        <w:rPr>
          <w:b/>
        </w:rPr>
        <w:t>E. 5</w:t>
      </w:r>
    </w:p>
    <w:p>
      <w:r>
        <w:t>avril 2011/27). c) En l’espèce, les parents n’ont pas les mêmes disponibilités pour s’occuper de leurs enfants. Alors que l’appelant est disponible en soirée durant la semaine, à partir de 16 h 30, et le week-end, l’intimée travaille tous les soirs de la semaine ainsi que le samedi durant la journée ; il est vraisemblable par ailleurs que l’intimée travaille parfois durant la journée pendant la semaine, puisqu’elle a déclaré placer l’enfant Z.________ chez une maman de jour tous les jours du lundi au jeudi, de 8 h 30 à 15 h. Cela étant, l’intimée bénéficie actuellement de l’aide de l’aîné, âgé de 17 ans, soit l’âge de certains jeunes gens au pair. Celui-ci va notamment chercher son petit frère chez la maman de jour du mardi au jeudi, s’occupe de lui le vendredi, prépare les soupers et s’occupe de ses deux frères en soirée. Même si le rôle joué par l’aîné de la fratrie en lien avec la garde de ses petits frères paraît important et ne devrait pas perdurer sur le long terme, l’appelant n’avance aucun élément probant qui laisserait penser que les enfants seraient mis en danger. Aucun grief n’est en particulier formulé sur la manière dont l’aîné s’occupe de ses deux petits frères. L’enfant Y.________ a d’ailleurs déclaré qu’il aimait bien vivre avec sa mère et ses frères et que la situation lui convenait, ajoutant que son frère s’occupait de lui le soir et que cela se passait bien. On ajoutera à ce propos que le courrier de l’appelant du 2 octobre 2012 n’apporte aucun élément probant supplémentaire, puisqu’il se contente de souligner que les enfants sont régulièrement laissés seuls à la maison le soir par leur mère, et que les prétendues pièces établies par la police, évoquées par l’appelant, n’ont pas été produites. En attendant les conclusions du rapport du SPJ sur les conditions de vie des enfants, la stabilité des enfants commande de laisser les choses en l’état. L’admission du moyen de l’appelant provoquerait en effet une modification de la situation, lors même qu’elle n’est encore que provisoire, puisqu’elle pourra être revue lorsque le rapport d’évaluation du SPJ sera rendu. Cette solution de stabilité est d’autant plus justifiée qu’aucune requête d’effet suspensif n’a été déposée par l’appelant, que les mesures d’extrême urgence déposées devant le premier juge, auxquelles se réfère l’appelant dans son courrier du 2 octobre 2012, ne concernent pas la garde des enfants et que l’appelant, qui a déclaré vivre dans une chambre d’auberge à la suite des mesures superprovisionnelles du 3 août 2012, n’a pas allégué disposer d’un autre environnement pour pouvoir accueillir convenablement ses enfants. Il n’a du reste pas contesté, dans son appel, l’attribution du domicile conjugal à l’intimée. On relèvera au surplus que les motifs invoqués par le frère aîné pour aller vivre avec son père justifient de se distancer de son désir d’attribution et que le jeune âge du cadet, le vœu exprimé par Y.________ de continuer à vivre avec sa mère et la nécessité de ne pas séparer les trois frères plaident en faveur de l’attribution de la garde à la mère. Mal fondé, le moyen de l’appelant doit être rejeté. 4. En conclusion, l’appel doit être rejeté, en application de l’art. 312 al. 1 CPC, et la décision confirmée. Vu l’indigence avérée de l’appelant et le fait que l’appel n’était pas d’emblée dépourvu de toute chance de succès (art. 117 CPC), il convient d’admettre sa requête d’assistance judiciaire, en l’astreignant à payer une franchise mensuelle de 50 fr. dès et y compris le 1 er décembre 2012, à verser auprès du Service juridique et législatif, case postale, à 1014 Lausanne. Me Mireille Loroch est désignée comme conseil d’office pour la procédure d’appel. Quant à la requête d’assistance judiciaire de l’intimée, elle est sans objet, puisque celle-ci n’a pas été invitée à se déterminer sur l’appel. Les frais judiciaires de deuxième instance, arrêtés à 746 fr. pour l’appelant, soit 600 fr. d’émolument (art. 65 al. 2 TFJC [Tarif des frais judiciaires civils du 28 septembre 2010, RSV 270.11.5]) et 146 fr. de frais d’interprète, seront laissés à la charge de l’Etat, l’appelant plaidant au bénéfice de l’assistance judiciaire. Le conseil d’office de l’appelant a déposé, le 24 octobre 2012, une liste des opérations, dont il ressort qu’il a consacré 6 heures et 55 minutes à la procédure d’appel, ce qui peut être admis vu l’ampleur du litige et le travail accompli. Au tarif horaire de 180 fr. (art. 2 RAJ [Règlement sur l’assistance judiciaire en matière civile du 7 décembre 2010, RSV 211.02.3]), l’indemnité du conseil doit donc être fixée à 1'344 fr. 60, TVA comprise. Des débours peuvent en outre lui être alloués à hauteur de 54 fr., TVA comprise. Aussi, l’indemnité d’office de Me Mireille Loroch doit être arrêtée à 1'398 fr. 60, TVA et débours compris. Dans la mesure de l’art. 123 CPC, le bénéficiaire de l’assistance judiciaire est tenu au remboursement des frais judiciaires et de l’indemnité à son conseil d’office mis à la charge de l’Etat. Il n’y a pas matière à l’allocation de dépens de deuxième instance, l’intimée n’ayant pas été invitée à se déterminer sur l’appel. Par ces motifs, la juge déléguée de la Cour d’appel civile du Tribunal cantonal, statuant à huis clos, en application de l'art. 312 al. 1 CPC, prononce : I. L’appel est rejeté. II. La décision est confirmée. III. La requête d’assistance judiciaire de l’appelant A.B.________ est admise, Me Mireille Loroch étant désignée conseil d’office pour la procédure d’appel. IV. L’appelant est astreint à payer une franchise mensuelle de 50 fr. (cinquante francs) dès et y compris le 1 er décembre 2012, à verser auprès du Service juridique et législatif, case postale, à 1014 Lausanne. V. La requête d’assistance judiciaire de l’intimée B.B.________ est sans objet. VI. Les frais judiciaires de deuxième instance, arrêtés à 746 fr. (sept cent quarante-six francs) pour l’appelant, sont laissés à la charge de l’Etat. VII. L’indemnité d’office de Me Mireille Loroch, conseil d’office de l’appelant, est arrêtée à 1'398 fr. 60 (mille trois cent nonante-huit francs et soixante centimes), TVA et débours compris. VIII . Le bénéficiaire de l’assistance judiciaire est, dans la mesure de l’art. 123 CPC, tenu au remboursement des frais judiciaires et de l’indemnité à son conseil d’office mis à la charge de l’Etat. IX. L’arrêt est exécutoire. La juge déléguée : Le greffier : Du L'arrêt qui précède, dont la rédaction a été approuvée à huis clos, est notifié en expédition complète, par l'envoi de photocopies, à : ‑ Me Mireille Loroch (pour A.B.________) ‑ Me Jérôme Campart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