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645 vom 9. Oktober 2012</w:t>
      </w:r>
    </w:p>
    <w:p>
      <w:r>
        <w:t>VD Tribunal cantonal, 2012-10-09, FR</w:t>
      </w:r>
    </w:p>
    <w:p>
      <w:r>
        <w:rPr>
          <w:b/>
        </w:rPr>
        <w:t xml:space="preserve">Quelle: </w:t>
      </w:r>
      <w:r>
        <w:t>https://mcp.opencaselaw.ch/entscheid/vd_findinfo_HC___2012___645</w:t>
      </w:r>
    </w:p>
    <w:p>
      <w:r>
        <w:t>FR: VD_FINDINFO HC / 2012 / 645 du 9 octobre 2012</w:t>
      </w:r>
    </w:p>
    <w:p>
      <w:r>
        <w:t>IT: VD_FINDINFO HC / 2012 / 645 del 9 ottobre 2012</w:t>
      </w:r>
    </w:p>
    <w:p>
      <w:pPr>
        <w:pStyle w:val="Heading2"/>
      </w:pPr>
      <w:r>
        <w:t>Regeste</w:t>
      </w:r>
    </w:p>
    <w:p>
      <w:r>
        <w:t>PROCÉDURE DE CONCILIATION, DÉFAUT{CONTUMACE} | 234 al. 1 CPC (CH), 319 let. a CPC (CH)</w:t>
      </w:r>
    </w:p>
    <w:p>
      <w:pPr>
        <w:pStyle w:val="Heading2"/>
      </w:pPr>
      <w:r>
        <w:t>Erwägungen</w:t>
      </w:r>
    </w:p>
    <w:p>
      <w:r>
        <w:rPr>
          <w:b/>
        </w:rPr>
        <w:t>E. 1</w:t>
      </w:r>
    </w:p>
    <w:p>
      <w:r>
        <w:t>La décision attaquée mettant fin au procès (art. 234 al. 2 CPC), dans une affaire dont la valeur litigieuse est inférieure à 10'000 fr., elle est sujette au recours de l'art. 319 let. a CPC (Tappy, CPC commenté, n. 39 ad art. 234). Déposé en temps utile par une partie qui y a intérêt, le présent recours est formellement recevable.</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ème éd., n. 2508, p. 452). Pour ce qui est de la constatation manifestement inexacte des faits, ce grief, comme pour l'art. 97 LTF (loi du 17 juin 2005 sur le Tribunal fédéral; RS 173.110), ne permet que de corriger une erreur évidente, la notion se recoupant en définitive avec l'appréciation arbitraire des preuves (Jeandin, CPC commenté, 2011, nn. 5 et 6 ad art. 320 CPC; Corboz et alii, Commentaire de la LTF, 2009, n. 19 ad art. 97).</w:t>
      </w:r>
    </w:p>
    <w:p>
      <w:r>
        <w:rPr>
          <w:b/>
        </w:rPr>
        <w:t>E. 3</w:t>
      </w:r>
    </w:p>
    <w:p>
      <w:r>
        <w:t>Le recourant fait valoir que des obligations professionnelles de dernier instant l'ont empêché de se présenter à l'audience et d'excuser son absence à celle-ci dans un délai suffisant; il ajoute qu'il est à disposition pour une nouvelle audience. En cas de défaut des deux parties, la procédure devient sans objet et la cause est rayée du rôle (art. 234 al. 2 CPC). Selon l’art. 148 CPC, le tribunal peut accorder un délai supplémentaire ou citer les parties à une nouvelle audience lorsque la partie défaillante en fait la requête et rend vraisemblable que le défaut ne lui est pas imputable ou n’est imputable qu’à une faute légère (al. 1) ; la requête est présentée dans les dix jours qui suivent celui où la cause du défaut a disparu (al. 2) ; si une décision a été communiquée, la restitution ne peut être requise que dans les six mois qui suivent l’entrée en force de la décision (al. 3). La restitution prévue par cette disposition permet de remédier à la radiation de la cause du rôle en cas de double défaut (Tappy, CPC commenté, n. 6 ad art. 148) ainsi que dans le cadre d'une procédure de conciliation (ibid. n. 6 ad art. 206). Une nouvelle requête de conciliation est possible, dans les limites des délais de déchéance ou de prescription (Honegger, in Sutter-Somm, Kommentar zur Schweizerischen Zivilprozessordnung, n. 2 ad art. 212 CPC). En l'occurrence, le recourant se réfère expressément à l'art. 319 CPC.  Recevable à la forme, son recours est infondé. C'est en effet à juste titre que le premier juge, constatant le défaut des deux parties à l'audience, a fait application de l'art. 234 al. 2 CPC et a rayé la cause du rôle. Au demeurant, à supposer que l'on applique l'art. 148 CPC, le motif invoqué par le recourant (surcharge professionnelle) ne saurait être assimilé à l'absence de faute ou à la faute seulement légère permettant une restitution de délai ou une nouvelle audience (Tappy, op. cit., n. 13 à 16 ad art. 148 CPC) et sa requête serait de toute manière vouée à l'échec. Mal fondé, le recours doit être rejeté. Il est toutefois loisible au requérant de déposer, dans les limites précitées, une nouvelle requête devant le Tribunal de prud'hommes. S'agissant d'un litige portant sur un conflit du travail dont la valeur litigieuse est inférieure à 30'000 fr. (art. 114 let. c CPC), il n'est pas perçu de frais judiciaires (art. 114 let. c CPC). Par ces motifs, la Chambre des recours civile du Tribunal cantonal, statuant à huis clos, prononce : I. Le recours est rejeté. II. La décision du 21 septembre 2012 est confirmée. III. L'arrêt, rendu sans frais judiciaires, est exécutoire. Le président :               Le greffier : Du L'arrêt qui précède, dont la rédaction a été approuvée à huis clos, est notifié à : ‑ M. D.________, ‑ Me Christophe Mistelli (pour W.________). La Chambre des recours civile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