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642 vom 10. Oktober 2012</w:t>
      </w:r>
    </w:p>
    <w:p>
      <w:r>
        <w:t>VD Tribunal cantonal, 2012-10-10, FR</w:t>
      </w:r>
    </w:p>
    <w:p>
      <w:r>
        <w:rPr>
          <w:b/>
        </w:rPr>
        <w:t xml:space="preserve">Quelle: </w:t>
      </w:r>
      <w:r>
        <w:t>https://mcp.opencaselaw.ch/entscheid/vd_findinfo_HC___2012___642</w:t>
      </w:r>
    </w:p>
    <w:p>
      <w:r>
        <w:t>FR: VD_FINDINFO HC / 2012 / 642 du 10 octobre 2012</w:t>
      </w:r>
    </w:p>
    <w:p>
      <w:r>
        <w:t>IT: VD_FINDINFO HC / 2012 / 642 del 10 ottobre 2012</w:t>
      </w:r>
    </w:p>
    <w:p>
      <w:pPr>
        <w:pStyle w:val="Heading2"/>
      </w:pPr>
      <w:r>
        <w:t>Regeste</w:t>
      </w:r>
    </w:p>
    <w:p>
      <w:r>
        <w:t>FRAIS JUDICIAIRES, FRAIS DE LA PROCÉDURE, PROCÈS DEVENU SANS OBJET, RÉPARTITION DES FRAIS | 106 al. 1 CPC (CH), 107 al. 1 let. e CPC (CH), 110 CPC (CH), 242 CPC (CH)</w:t>
      </w:r>
    </w:p>
    <w:p>
      <w:pPr>
        <w:pStyle w:val="Heading2"/>
      </w:pPr>
      <w:r>
        <w:t>Erwägungen</w:t>
      </w:r>
    </w:p>
    <w:p>
      <w:r>
        <w:rPr>
          <w:b/>
        </w:rPr>
        <w:t>E. 1</w:t>
      </w:r>
    </w:p>
    <w:p>
      <w:r>
        <w:t>Selon l’art. 319 let. b ch. 1 CPC, le recours est recevable dans les cas prévus par la loi. A teneur de l’art. 110 CPC, la décision sur les frais, qui comprennent les frais judiciaires et les dépens (art. 95 al. 1 CPC), peut être attaquée séparément par un recours (cf. Tappy, in CPC commenté, Bâle 2011, n.</w:t>
      </w:r>
    </w:p>
    <w:p>
      <w:r>
        <w:rPr>
          <w:b/>
        </w:rPr>
        <w:t>E. 4</w:t>
      </w:r>
    </w:p>
    <w:p>
      <w:r>
        <w:t>En conclusion, le recours doit être admis, le prononcé annulé et la cause renvoyée au premier juge pour statuer à nouveau dans le sens des considérants. Les frais judiciaires de deuxième instance, arrêtés à 100 fr. (art. 69 al. 1 TFJC [Tarif des frais judiciaires civils du 28 septembre 2010, RSV 270.11.5]), seront mis à la charge de l’intimée qui succombe (art. 106 al. 1 CPC). L’intimée versera ainsi au recourant la somme de 100 fr. à titre de restitution de l’avance de frais fournie par celui-ci (art. 111 al. 2 CPC). Vu le sort du recours, l’intimée versera en outre au recourant la somme de 1'200 fr. (art. 8 TDC [Tarif des dépens en matière civile du 23 novembre 2010, RSV 270.11.6]) à titre de dépens de deuxième instance. Par ces motifs, la Chambre des recours civile du Tribunal cantonal, statuant à huis clos, prononce : I. Le recours est admis. II. Le prononcé est annulé et la cause est renvoyée au Président du Tribunal civil de l’arrondissement de Lausanne pour statuer à nouveau dans le sens des considérants. III. Les frais judiciaires de deuxième instance, arrêtés à 100 fr. (cent francs), sont mis à la charge de l’intimée. IV. L’intimée I.________ SA doit verser au recourant R.________ la somme de 1'300 fr. (mille trois cents francs) à titre de dépens et de restitution d’avance de frais de deuxième instance. V. L’arrêt motivé est exécutoire. Le président :               Le greffier : Du 10 octobre 2012 Le dispositif de l'arrêt qui précède est communiqué par écrit aux intéressés. Le greffier : Du L'arrêt qui précède, dont la rédaction a été approuvée à huis clos, est notifié en expédition complète, par l'envoi de photocopies, à : ‑ Me Isabelle Jaques (pour R.________) ‑ Me Luc Pittet (pour I.________ SA) La Chambre des recours civile considère que la valeur litigieuse est de 1’750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