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640 vom 12. Oktober 2012</w:t>
      </w:r>
    </w:p>
    <w:p>
      <w:r>
        <w:t>VD Tribunal cantonal, 2012-10-12, FR</w:t>
      </w:r>
    </w:p>
    <w:p>
      <w:r>
        <w:rPr>
          <w:b/>
        </w:rPr>
        <w:t xml:space="preserve">Quelle: </w:t>
      </w:r>
      <w:r>
        <w:t>https://mcp.opencaselaw.ch/entscheid/vd_findinfo_HC___2012___640</w:t>
      </w:r>
    </w:p>
    <w:p>
      <w:r>
        <w:t>FR: VD_FINDINFO HC / 2012 / 640 du 12 octobre 2012</w:t>
      </w:r>
    </w:p>
    <w:p>
      <w:r>
        <w:t>IT: VD_FINDINFO HC / 2012 / 640 del 12 ottobre 2012</w:t>
      </w:r>
    </w:p>
    <w:p>
      <w:pPr>
        <w:pStyle w:val="Heading2"/>
      </w:pPr>
      <w:r>
        <w:t>Regeste</w:t>
      </w:r>
    </w:p>
    <w:p>
      <w:r>
        <w:t>HYPOTHÈQUE LÉGALE DES ARTISANS ET ENTREPRENEURS, MESURE PROVISIONNELLE | 837 al. 1 ch. 3 CC, 839 al. 2 CC, 961 al. 3 CC</w:t>
      </w:r>
    </w:p>
    <w:p>
      <w:pPr>
        <w:pStyle w:val="Heading2"/>
      </w:pPr>
      <w:r>
        <w:t>Erwägungen</w:t>
      </w:r>
    </w:p>
    <w:p>
      <w:r>
        <w:rPr>
          <w:b/>
        </w:rPr>
        <w:t>E. 1</w:t>
      </w:r>
    </w:p>
    <w:p>
      <w:r>
        <w:t>L’appel est recevable contre les ordonnances de mesures provisionnelles (art. 308 al. 1 let. b CPC [Code de procédure civile du 19 décembre 2010; RS 272]), dans les causes non patrimoniales ou celles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l'appel est recevable.</w:t>
      </w:r>
    </w:p>
    <w:p>
      <w:r>
        <w:rPr>
          <w:b/>
        </w:rPr>
        <w:t>E. 2</w:t>
      </w:r>
    </w:p>
    <w:p>
      <w:r>
        <w:t>L'autorité d'appel dispose d'un plein pouvoir d'examen en fait et en droit, y compris lorsque la décision attaquée est de nature provisionnelle (JT 2011 III 43).</w:t>
      </w:r>
    </w:p>
    <w:p>
      <w:r>
        <w:rPr>
          <w:b/>
        </w:rPr>
        <w:t>E. 3</w:t>
      </w:r>
    </w:p>
    <w:p>
      <w:r>
        <w:t>e éd., Zurich 2008, n. 1394).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(ATF 102 Ia 81 c. 2b/bb, rés. in JT 1977 I 625, SJ 1977 p. 145 et les références citées). c) Contrairement à ce que soutient l’appelante, les charges de TVA, dès lors qu’elles font partie des coûts de la construction, sont considérées comme des éléments de la créance garantie par l’hypothèque légale (Schumacher, op. cit., n. 467 p. 158, qui qualifie les charges de TVA de «ein Teil der objektabhängigen Gestehungskosten »), de sorte que l’allégué 7 de la requête d’inscription provisoire de l’hypothèque légale pouvait se référer au prix forfaitaire incluant la TVA. Par ailleurs, dans l’allégué 10 de la requête d’inscription provisoire de l’hypothèque légale, il est bien précisé que la somme de 2'243'000 fr. a été versée à l’entreprise générale requérante et aux «venderesses», soit à [...], à [...] et à la requérante, ce qui signifie que ce montant a également servi au paiement du prix de vente de 738'000 francs. L’appelante considère donc à tort que l’intimée a obtenu un montant de 2'243'000 fr., qui couvrirait non seulement le prix forfaitaire convenu de 1'562'000 fr., auquel il faut ajouter la TVA comme relevé (c. 3b ci-avant), mais également les plus-values contestées qui ne peuvent être considérées comme exclues ou hautement invraisemblables (voir ci-après). Il y a encore lieu de relever que T.________ elle-même n’a versé aucune pièce – notamment sur l’affectation exacte du crédit bancaire - au dossier de première instance, qui démontrerait que le requérant a été payé, la  preuve de ce fait lui incombant (Bohnet, in Le nouveau droit de l’hypothèque légale des artisans et entrepreneurs, Neuchâtel 2012, n. 69 p. 72), mais qu’elle se contente de se référer à une pièce de la partie requérante, qu’elle conteste par ailleurs. S’agissant des plus-values (énumérées dans une pièce produite par V.________ et à laquelle se réfère l’ordonnance attaquée), dont l’appelante se limite à contester l’existence et non la nature en soutenant qu’elles auraient dû être expressément commandées selon le contrat d’entreprise générale liant les parties, le premier juge s’est assuré de l’existence du droit allégué par l’entrepreneur général à cet égard, en se fondant notamment sur les diverses factures, rappels et mails produits par celui-ci, figurant au dossier. Les considérations de T.________ qui concernent les exigences contractuelles pour l’admission de ces plus-values, le prétendu droit de retenue de 10 % découlant du contrat liant les parties et la variation maximale admise par la jurisprudence du prix convenu en rapport avec un contrat forfaitaire dépassent le cadre de l’instruction sommaire, à laquelle s’est livrée le premier juge, et relèvent de l’action au fond. d) Compte tenu de ce qui précède, le moyen de l'appelante doit être rejeté.</w:t>
      </w:r>
    </w:p>
    <w:p>
      <w:r>
        <w:rPr>
          <w:b/>
        </w:rPr>
        <w:t>E. 4</w:t>
      </w:r>
    </w:p>
    <w:p>
      <w:r>
        <w:t>Il s’ensuit que l’appel doit être rejeté dans la procédure de l’art. 312 al. 1 CPC et l’ordonnance entreprise confirmée. Les frais judiciaires de deuxième instance sont arrêtés à 1'500 fr. (art. 65 al. 1 et 3 TFJC) et mis à la charge de l’appelante, qui succombe (art. 106 al. 1 CPC). N’ayant pas été invitée à se déterminer, l’intimée n’a pas droit à des dépens de deuxième instance. Par ces motifs, la juge déléguée de la Cour d’appel civile du Tribunal cantonal, statuant à huis clos, en application de l'art. 312 al. 1 CPC, prononce : I. L’appel est rejeté. II. L'ordonnance est confirmée. III. Les frais judiciaires de deuxième instance, arrêtés à 1'500 fr. (mille cinq cents francs), sont mis à la charge de l'appelante T.________. IV. L'arrêt est exécutoire La juge déléguée : Le greffier : Du L'arrêt qui précède, dont la rédaction a été approuvée à huis clos, est notifié en expédition complète, par l'envoi de photocopies, à : ‑ Me Michel Dupuis (pour T.________), ‑ M. Christophe Savoy (pour V.________). La juge déléguée de la Cour d’appel civile considère que la valeur litigieuse est de 541'603 francs et 21 centimes.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