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64 vom 19. Januar 2012</w:t>
      </w:r>
    </w:p>
    <w:p>
      <w:r>
        <w:t>VD Tribunal cantonal, 2012-01-19, FR</w:t>
      </w:r>
    </w:p>
    <w:p>
      <w:r>
        <w:rPr>
          <w:b/>
        </w:rPr>
        <w:t xml:space="preserve">Quelle: </w:t>
      </w:r>
      <w:r>
        <w:t>https://mcp.opencaselaw.ch/entscheid/vd_findinfo_HC___2012___64</w:t>
      </w:r>
    </w:p>
    <w:p>
      <w:r>
        <w:t>FR: VD_FINDINFO HC / 2012 / 64 du 19 janvier 2012</w:t>
      </w:r>
    </w:p>
    <w:p>
      <w:r>
        <w:t>IT: VD_FINDINFO HC / 2012 / 64 del 19 gennaio 2012</w:t>
      </w:r>
    </w:p>
    <w:p>
      <w:pPr>
        <w:pStyle w:val="Heading2"/>
      </w:pPr>
      <w:r>
        <w:t>Regeste</w:t>
      </w:r>
    </w:p>
    <w:p>
      <w:r>
        <w:t>OBLIGATION D'ENTRETIEN, ENFANT, REVENU HYPOTHÉTIQUE | 133 al. 1 CC, 285 al. 1 CC</w:t>
      </w:r>
    </w:p>
    <w:p>
      <w:pPr>
        <w:pStyle w:val="Heading2"/>
      </w:pPr>
      <w:r>
        <w:t>Erwägungen</w:t>
      </w:r>
    </w:p>
    <w:p>
      <w:r>
        <w:rPr>
          <w:b/>
        </w:rPr>
        <w:t>E. 1</w:t>
      </w:r>
    </w:p>
    <w:p>
      <w:r>
        <w:t>let. a CPC), dans les causes exclusivement patrimoniales pour autant que la valeur litigieuse, au dernier état des conclusions devant l’autorité inférieure, soit de 10'000 fr. au moins (art. 308 al. 2 CPC). Le délai pour l’introduction de l’appel est de trente jours à compter de la notification de la décision motivée (art. 311 al. 1 CPC). Formé en temps utile par une partie qui y a intérêt et portant sur des conclusions qui, capitalisées selon l’art. 92 al. 2 CPC, sont supérieures à 10’000 fr., l’appel est recevable à la forme.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l’appréciation des faits sur la base des preuves administrées en première instance (Tappy, ibid., p. 135). b) 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pp. 136-137). Il appartient à l’appelant de démontrer que ces conditions sont réalisées, de sorte que l’appel doit indiquer spécialement de tels faits et preuves nouveaux et motiver spécialement les raisons qui les rendent admissibles selon lui (Tappy, ibid., pp. 136-137). La jurisprudence de la cour de céans (JT 2011 III 43 ; RSPC 2011, p. 320, note approbatrice de Tappy) considère qu’en appel les novas sont soumis au régime ordinaire, même dans les causes soumises à la maxime inquisitoire (en ce sens Tappy, op. cit., p. 115 ; HohI, Procédure civile, Tome Il, 2 e éd., Berne 2010, n. 2410, p. 437). Toutefois, des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bb) En l’espèce, l’appelant a produit plusieurs pièces à l’appui de son appel. Le contrat de stage du 20 avril 2011 et son avenant du 31 août 2011 figuraient déjà au dossier de première instance et ne constituent dès lors pas des pièces nouvelles. L’extrait de compte postal daté du 14 décembre 2011 et le décompte de salaire du 21 octobre 2011 ne figuraient pas au dossier, mais sont postérieurs à l’audience de jugement du 13 septembre 2011 et sont donc recevables. Quant à la décision de taxation du 6 septembre 2011, rien n’indique que l’appelant n’en aurait pas eu connaissance préalablement à l’audience précitée ; elle est cependant sans incidence sur l’issue du litige et la question de sa recevabilité peut rester ouverte. Sur réquisition de la juge déléguée, l’appelant a produit en outre son contrat de travail du 5 octobre 2011 et les fiches de salaire des mois d’octobre à décembre 2011. L’état de fait a été complété en tenant compte des pièces nouvelles dont la recevabilité a été admise.</w:t>
      </w:r>
    </w:p>
    <w:p>
      <w:r>
        <w:rPr>
          <w:b/>
        </w:rPr>
        <w:t>E. 3</w:t>
      </w:r>
    </w:p>
    <w:p>
      <w:r>
        <w:t>a) L’appelant reproche en substance aux premiers juges de lui avoir imputé un revenu hypothétique de 4'000 francs. Il explique réaliser un salaire net de 3’347 fr. en qualité d’assistant en stérilisation auprès de la Clinique [...] et fait valoir que ses multiples recherches pour trouver un travail dans le domaine de la construction ont été vaines en raison de la saturation du marché et du fait que les entreprises recherchent uniquement du personnel qualifié. Il fait encore état de ses charges courantes et de ses dettes et demande la réévaluation de la situation. b) aa) Aux termes de l’art. 285 al. 1 CC,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(Bastons Bulletti, L’entretien après divorce : méthodes de calcul, montant, durée et limites, in SJ 2007 lI 77 ss, spéc. p. 107 s. ; RSJ 1984, n. 4, p. 392 et note, p. 393 ; Meier/Stettler, Droit de la filiation, 4 e éd., Zurich 2009, n. 978, pp. 567-568 ; TF 5A_84/2007 du 18 septembre 2007 c. 5.1, reproduit in Revue du droit de la tutelle 2007, p. 299). lI s’agit là d’un taux approximatif qui doit être pondéré au vu des circonstances, selon l’équité (ATF 107 Il 406 c. 2c ; RSJ 1984, n. 4, p. 392 précité ; Meier/Stettler, ibidem). La cour de céans applique ces critères à tous les enfants mineurs, indépendamment de l’état civil de leurs parents (mariés ou non, séparés ou divorcés ; cf. CREC lI 15 novembre 2010/234). Ces pourcentages ne valent en général que si le revenu du débiteur se situe entre 3’500 fr. et 4’500 fr. par mois (ATF 116 II 110 c. 3a, JT 1993 I 162), revenu qui a toutefois été réactualisé depuis lors, de 4'500 fr. à 6’000 fr., pour tenir compte de l’augmentation du coût de la vie (CREC II 11 juillet 2005/436). Le Tribunal fédéral a avalisé la méthode forfaitaire telle qu’appliquée dans le canton de Vaud, pour autant que la contribution d’entretien reste en rapport avec le niveau de vie et la capacité contributive du débiteur, le taux pouvant devoir être pondéré au vu des circonstances et selon l’équité (TF 5A_84/2007 précité ; TF 5A_178/2008 du 23 avril 2008 c. 3.3).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 les seuils sont généralement fixés à six ans (âge d’entrée en scolarité obligatoire), dix ou douze ans (passage en scolarité de niveau secondaire) et seize ans (fin de la scolarité obligatoire) (cf. CREC II 22 octobre 2007/207 c. 5 et les réf. citées). bb)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 dont on peut raisonnablement exiger d’elle qu’elle l’obtienne afin de remplir ses obligations (ATF 128 III 4 c. 4a ;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 il s’agit-là d’une question de fait (ATF 128 III 4 c. 4c/bb ; ATF 126 III 10 c. 2b). Pour arrêter le montant du salaire, le juge peut éventuellement se baser sur l’enquête suisse sur la structure des salaires, réalisée par l’Office fédéral de la statistique, ou sur d’autres sources (conventions collectives de travail ; Mühlhauser, Das Lohnbuch 2010, Mindestlöhne sowie orts- und berufübliche Löhne in der Schweiz, Zurich 2010 ; cf. ATF 137 III 118 c. 3.2 ; TF 5A_99/2011 précité c. 7.4.1). c) En l’espèce, l’appelant est au bénéfice d’une formation d’agent de sécurité mais, constatant qu’il ne trouverait pas d’emploi dans ce domaine, il s’est reconverti et a suivi avec succès une formation en stérilisation. Arrivé au terme de son stage, il perçoit actuellement un salaire net de 3’347 fr., versé 13 fois l’an, soit 3’626 fr. net mensualisé. Il ne dispose d’aucune autre formation professionnelle. S’il ne conteste pas disposer d’une bonne condition physique qui lui permettrait de travailler dans le domaine de la construction, il indique que le marché est saturé. Si l’on se réfère aux tabelles de l’Office fédéral de la statistique, le salaire mensuel brut moyen dans le secteur de la construction pour les hommes qui ne bénéficient d’aucune formation est de 5’098 fr. et de 4’633 fr. pour les activités dans le secteur « services » qui comprend les activités commerciales, comptables, de secrétariat ou encore de nettoyage. Plus particulièrement dans le domaine médical, un homme ne disposant d’aucune formation doit être en mesure de réaliser un salaire mensuel brut de 4’799 fr. (Annuaire statistique de la Suisse 2010, Salaire mensuel brut selon le domaine d’activité, le niveau des qualifications requises pour le poste de travail et le sexe, p. 109). L’appelant renonce à prospecter dans des secteurs qui seraient plus rémunérateurs si bien que les premiers juges ne se sont pas fourvoyés en imputant un revenu hypothétique de 4'000 fr. net à l’appelant, lequel est légèrement supérieur au revenu net effectivement réalisé (3’626 fr.). La contribution d’entretien pour chaque enfant a ainsi été correctement arrêtée, le montant de 500 fr. par enfant correspondant au minimum qui pouvait être accordé. En outre, il n’y a pas de raison de pondérer ce montant en raison des dettes que l’appelant aurait contractées auprès des tiers, qui cèdent le pas à l’obligation d’entretien du droit de famille et ne font pas partie du minimum d’existence (TF 5A_452/2010 du 23 août 2010, in FamPra.ch 2011, n. 2, p. 165). Par surabondance, on relèvera que, même si l’on devait s’en tenir au revenu effectivement perçu par l’appelant, soit 3'626 fr. par mois, le moyen de celui-ci serait également infondé. La proportion de 25 % du revenu mensuel net du débirentier devant être affectée à l’entretien des enfants, telle que retenue par les premiers juges, trouve en effet application en présence de deux enfants en bas âge. Les contributions devant en principe être rééchelonnées en fonction de l’âge des enfants, pour tenir compte de leurs besoins croissants, selon des paliers fixés à six, dix ou douze et seize ans, cette proportion peut par conséquent être amenée à être augmentée. Aussi, la solution adoptée par les premiers juges, qui renoncent à fixer des paliers, est favorable à l’appelant ; la contribution fixée à ce jour est ainsi globalement équitable, compte tenu de l’âge d’Enfant 2, qui a plus de douze ans et aurait ainsi pu bénéficier de deux paliers. Il découle de ce qui précède que le moyen de l’appelant est mal fondé et qu’il doit être rejeté.</w:t>
      </w:r>
    </w:p>
    <w:p>
      <w:r>
        <w:rPr>
          <w:b/>
        </w:rPr>
        <w:t>E. 4</w:t>
      </w:r>
    </w:p>
    <w:p>
      <w:r>
        <w:t>a) L’appelant demande par ailleurs que les frais judiciaires de première instance soient laissés à la charge de l’Etat et qu’il soit mis au bénéfice de l’assistance judiciaire pour la procédure d’appel. b) A teneur de l’art. 117 CPC, une personne a droit à l’assistance judiciaire si elle ne dispose pas de ressources suffisantes et si sa cause ne paraît pas dépourvue de toute chance de succès. S’agissant de la deuxième condition, il ne faut pas rendre impossible de porter en deuxième instance une cause que le requérant souhaite légitimement faire réexaminer (Tappy, in CPC commenté, n. 34 ad art. 117 CPC et la réf. citée). Dans ces circonstances, la tournure finalement prise par le procès et le rejet de l’appel dans la procédure de l’art. 312 al. 1 CPC ne signifie pas nécessairement que l’assistance judiciaire doit être refusée. L’assistance judiciaire est exceptionnellement accordée avec effet rétroactif (art. 119 al. 4 CPC). Le Message ne donne pas d’exemple de circonstances permettant de telles exceptions. Selon la doctrine, il faut qu’il apparaisse excusable de ne pas avoir sollicité l’assistance judiciaire alors que les conditions en étaient réunies. Outre les affaires où l’urgence imposait de sauvegarder sans attendre certains droits, on peut songer aussi au cas où l’avis prévu par l’art. 97 CPC n’a pas été donné ou ne l’a été que tardivement (Tappy, in CPC commenté, n. 19 ad art. 119 CPC). c) En l’espèce, l’appel n’était pas d’emblée dépourvu de toute chance de succès et l’appelant ne dispose pas de ressources suffisantes, de sorte que l’assistance judiciaire doit lui être octroyée. Par ailleurs, s’agissant d’un divorce sur requête unilatérale, aucune avance de frais n’a été requise de l’appelant qui était défendeur à l’action en première instance et il ne ressort pas du dossier que son attention ait été attirée sur le montant probable de ses frais et sur la possibilité de requérir l’assistance judiciaire, alors même qu’il n’était pas assisté d’un avocat. Il en résulte qu’il y a manifestement eu violation de l’art. 97 CPC, ce qui justifie que l’autorité d’appel octroie à l’appelant l’assistance judiciaire avec effet rétroactif à la date de la première audience de première instance, soit au 5 avril 2011. Aussi, le jugement doit être réformé au chiffre Xl de son dispositif en ce sens que les frais de judiciaires du défendeur sont laissés à la charge de l’Etat.</w:t>
      </w:r>
    </w:p>
    <w:p>
      <w:r>
        <w:rPr>
          <w:b/>
        </w:rPr>
        <w:t>E. 5</w:t>
      </w:r>
    </w:p>
    <w:p>
      <w:r>
        <w:t>En conclusion, l’appel doit être rejeté dans la procédure de l’art. 312 al. 1 CPC, l’assistance judiciaire octroyée à l’appelant avec effet au 5 avril 2011 et le jugement réformé d’office au chiffre XI de son dispositif en ce sens que les frais judiciaires de première instance, arrêtés à 1'500 fr. pour la demanderesse E.________ et à 1'500 fr. pour le défendeur A.________, sont laissés à la charge de l’Etat. Vu l’octroi de l’assistance judiciaire à l’appelant, les frais judiciaires de deuxième instance, arrêtés à 600 fr. (art. 63 al. 1 TFJC [Tarif des frais judiciaires civils du 28 septembre 2010, RSV 270.11.5]), sont laissés à la charge de l’Etat. Le bénéficiaire de l’assistance judiciaire est, dans la mesure de l’art. 123 CPC, tenu au remboursement des frais judiciaires de première et deuxième instance mis à la charge de l’Etat. Il n’y a pas matière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