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635 vom 9. Oktober 2012</w:t>
      </w:r>
    </w:p>
    <w:p>
      <w:r>
        <w:t>VD Tribunal cantonal, 2012-10-09, FR</w:t>
      </w:r>
    </w:p>
    <w:p>
      <w:r>
        <w:rPr>
          <w:b/>
        </w:rPr>
        <w:t xml:space="preserve">Quelle: </w:t>
      </w:r>
      <w:r>
        <w:t>https://mcp.opencaselaw.ch/entscheid/vd_findinfo_HC___2012___635</w:t>
      </w:r>
    </w:p>
    <w:p>
      <w:r>
        <w:t>FR: VD_FINDINFO HC / 2012 / 635 du 9 octobre 2012</w:t>
      </w:r>
    </w:p>
    <w:p>
      <w:r>
        <w:t>IT: VD_FINDINFO HC / 2012 / 635 del 9 ottobre 2012</w:t>
      </w:r>
    </w:p>
    <w:p>
      <w:pPr>
        <w:pStyle w:val="Heading2"/>
      </w:pPr>
      <w:r>
        <w:t>Regeste</w:t>
      </w:r>
    </w:p>
    <w:p>
      <w:r>
        <w:t>DROIT DE GARDE, OBLIGATION D'ENTRETIEN, REVENU HYPOTHÉTIQUE, PROTECTION DE L'UNION CONJUGALE, AUTORITÉ PARENTALE, GARDE ALTERNÉE | 176 al. 1 CC, 176 al. 1 ch. 1 CC, 176 al. 3 CC, 176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Les ordonnances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en partie non patrimoniales,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pp. 136-137 ; Jeandin, in CPC commenté, Bâle 2011, n. 5 ad art. 296 CPC et les réf. citées). En l’espèce, le litige porte notamment sur le sort d’enfants mineurs, de sorte que les pièces produites en deuxième sont recevables ; elles ont ainsi été prises en compte dans la mesure de leur utilité pour l’examen de la cause.</w:t>
      </w:r>
    </w:p>
    <w:p>
      <w:r>
        <w:rPr>
          <w:b/>
        </w:rPr>
        <w:t>E. 3</w:t>
      </w:r>
    </w:p>
    <w:p>
      <w:r>
        <w:t>a) Dans un premier moyen, l’appelante fait grief au premier juge d’avoir statué, notamment sur la question de la garde des enfants Y.________ et Z.________, avant que le rapport d’évaluation du SPJ ne soit déposé. b) Les mesures protectrices de l’union conjugale sont ordonnées à la suite d’une procédure sommaire, avec administration restreinte des moyens de preuve et limitation du degré de la preuve à la simple vraisemblance (ATF 127 III 474 c. 2b/bb ; ATF 120 II 352 c. 2b) ;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Dans le cadre des mesures protectrices, le juge doit ainsi statuer sur la base de la simple vraisemblance après une administration limitée des preuves, en se fondant sur les moyens de preuve immédiatement disponibles (ATF 131 III 473 c. 2.3 in limine ; TF 5A_497/2011 du 5 décembre 2011 c. 3.2 ; TF 5A_41/2011 du 10 août 2011 c. 4.2 in fine ; TF 5A_4/2011 du 9 août 2011 c. 3.2; TF 5A_720/2009 du 18 janvier 2010 c. 5.3). c) En l’espèce, le premier juge a considéré que le sort des enfants mineurs devait être réglé à brève échéance et que le délai indiqué par le SPJ pour rendre son rapport d’évaluation était trop long pour en attendre le résultat ; le premier juge a en outre indiqué que la situation pourrait de toute manière être réexaminée si les conclusions de ce rapport différaient sur des points essentiels de l’ordonnance. Cette appréciation est adéquate et doit être confirmée, d’autant que le premier juge a suspendu l’audience de mesures protectrices de l’union conjugale pour entendre les enfants et que cette mesure était suffisante pour lui permettre de statuer à ce stade de la procédure. Mal fondé, le moyen de l’appelante doit être rejeté. Le SPJ n’étant pas en mesure de déposer un rapport à bref délai, la requête de l’appelante tendant à l’établissement d’un tel rapport doit également être rejetée, d’autant que le SPJ a déjà été mandaté par le premier juge pour évaluer la situation.</w:t>
      </w:r>
    </w:p>
    <w:p>
      <w:r>
        <w:rPr>
          <w:b/>
        </w:rPr>
        <w:t>E. 4</w:t>
      </w:r>
    </w:p>
    <w:p>
      <w:r>
        <w:t>a) Dans un deuxième moyen, l’appelante conteste les modalités du droit de visite qui lui ont été définies et sollicite une garde conjointe ainsi que l’autorité parentale sur ses enfants Y.________ et Z.________. Elle fait d’abord valoir qu’une garde alternée serait commandée par le bien des enfants, d’autant que l’intimé souffrirait de sérieux problèmes de santé et passerait tout son temps dans son atelier. Elle reproche ensuite au premier juge d’avoir retenu en sa défaveur qu’elle consommait du cannabis, alors que cette consommation était justifiée par des raisons médicales et lui permettait de mieux supporter la douleur causée par ses problèmes dorsaux. L’appelante soutient en outre que les enfants s’entendent très bien avec son compagnon. Enfin, elle fait valoir qu’elle a été licenciée et qu’elle percevra bientôt une rente AI, de sorte qu’elle peut mettre tout son temps au bénéfice des enfants, et ajoute que l’intimé l’aurait récemment empêchée de les voir.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Le juge doit notamment régler les questions de la garde et des relations personnelles, voire celle de l’autorité parentale. L'attribution de l'autorité parentale à un parent n'est pas exclue, mais devrait cependant constituer l'exception dans le cadre des mesures protectrices de l'union conjugale ou des mesures provisionnelles. En effet, si l'attribution du droit de garde à un seul des parents apparaît suffisante pour garantir le bien de l'enfant, il n'y a pas lieu de modifier aussi l'exercice de l'autorité parentale ; le seul fait que les parents entretiennent des relations conflictuelles ensuite de la séparation ne suffit notamment pas pour faire application de l'art. 297 al. 2 CC et attribuer l’autorité parentale à l’un des parents (TF 5A_456/2010 du 21 février 2011 c. 3 ; ATF 111 II 223, JT 1988 I 230). Il en découle que dans le cadre des mesures protectrices de l'union conjugale, seul le droit de garde, à savoir la compétence de déterminer le lieu de résidence et le mode d'encadrement de l'enfant, est ordinairement attribué (ATF 136 III 353 c. 3.1, JT 2010 I 491). L’octroi de la garde dans le cadre des mesures protectrices est soumis aux principes posés par la jurisprudence et la doctrine en matière de divorce, qui sont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cf. aussi TF 5A_181/2008 du 25 avril 2008, in FamPra.ch 4/2008, n. 104, p. 98 ; TF 5C.238/2005 du 2 novembre 2005, in FamPra.ch 2006, n. 20, p. 193). Par ailleurs, la jurisprudence tend à écarter désormais toute préférence naturelle en faveur de la mère, même pour les enfants en bas âge (Leuba/Bastons Bulletti, in Commentaire romand, n. 9 ad art. 133 CC et les réf. citées) ou du moins à accorder à ce critère un caractère très relatif, le critère décisif étant celui de l'aptitude des parents concernés (Meier/Stettler, Droit de la filiation, 4 e éd., Zurich 2009, n. 452, p. 287 ; Juge délégué CACI 5 avril 2011/27). La garde alternée est la situation dans laquelle les parents exercent en commun l’autorité parentale, mais se partagent la garde de l’enfant de manière alternée pour des périodes plus ou moins égales, qui peuvent être fixées en jours ou en semaines, voire en mois. Elle suppose une volonté conjointe des parents impliquant leur accord sur le principe et les modalités de la garde. En outre, cette garde doit être compatible avec le bien des enfants (TF 5A_69/2011 du 27 février 2012 c. 2.1, in FamPra.ch 2012, p. 817 ; TF 5P.345/2005 du 23 décembre 2005 c. 3.3 ; Chaix, op. cit., n. 19 ad art. 176 CC).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(TF 5A_716/2010 du 23 février 2011 c. 4 et les réf. citées, in FamPra.ch 2011, p. 491 ; ATF 131 III 209 c. 5 ; ATF 123 III 445 c. 3b). Le droit aux relations personnelles vise à sauvegarder le lien existant entre parents et enfants ;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 il faut en outre prendre en considération la situation et les intérêts de l'ayant droit : sa relation avec l'enfant, sa personnalité, son lieu d'habitation, son temps libre, son environnement ; enfin, il faut tenir compte de la situation des personnes chez qui l'enfant vit (Hegnauer, Droit suisse de la filiation, 4 e éd., Berne 1998, n. 19.09, p. 111). c) En l’espèce, il ne se justifie pas, au stade des mesures protectrices de l’union conjugale, d’attribuer l’autorité parentale sur les enfants Y.________ et Z.________ à l’un des parents, le seul fait que les parents entretiennent des relations conflictuelles ensuite de la séparation étant à cet égard insuffisant. S’agissant du droit de garde, il convient de relever qu’en première instance, la conciliation a été tentée sans succès aux audiences des 22 mars et 3 mai 2012 ; on doit ainsi tenir pour acquis que les parties ne parviennent pas à s’entendre sur le principe d’une garde alternée, ni a fortiori sur ses modalités. C’est dès lors en vain que l’appelante formule de telles conclusions dans son appel, puisque la garde alternée suppose une volonté commune des deux parents. Par ailleurs, si elle fait valoir qu’elle consomme du cannabis pour soulager des douleurs, l’appelante ne produit aucun certificat médical à l’appui de ses affirmations ; il résulte au surplus du dossier que le Ministère public instruit une enquête à l’encontre de l’appelante et de son compagnon qui porte non seulement sur de la consommation de stupéfiants, mais également sur de la production de drogue, une plantation de cannabis indoor ayant notamment été découverte dans la cave du domicile de celui-ci. Ces éléments sont indéniablement de nature à mettre en danger le développement de mineurs et dépassent la simple consommation de cannabis à des fins thérapeutiques. C’est dès lors à bon droit que le premier juge en a tenu compte dans le cadre de l’examen du droit de garde. Pour le reste, c’est en vain que l’appelante conteste le fait que ses enfants ne s’entendent pas avec son compagnon, dès lors que le rapport établi après l’audition de Y.________ et de Z.________ est tout à fait clair à ce sujet. Par ailleurs, les allégations de l’appelante selon lesquelles l’intimé passerait tout son temps dans l’atelier et l’aurait empêchée de voir ses enfants ne reposent sur aucun élément du dossier et n’ont dès lors pas été rendues vraisemblables. Il découle de ce qui précède que la solution du premier juge d’attribuer la garde à l’intimé est conforme à l’intérêt des enfants et qu’elle doit dès lors être confirmée. On relèvera enfin que si l’appelante dit contester les modalités du droit de visite, elle s’en prend en réalité au droit de garde, qu’elle souhaiterait avoir de manière alternée avec l’intimé. L’appelante n’a en effet pas pris de conclusions tendant à une extension du droit aux relations personnelles dans son appel, concluant uniquement à l’annulation du chiffre III de l’ordonnance y relatif. Quoi qu’il en soit, le droit de visite qui lui a été accordé par le premier juge, à savoir une fin de semaine sur deux, un mercredi après-midi sur deux, la moitié des vacances scolaires et alternativement à Pâques ou Pentecôte, l’Ascension ou le Jeûne fédéral, Noël ou Nouvel An, tient équitablement compte des circonstances particulières du cas d’espèce et répond aux besoins tant des enfants que de l’appelante. Au demeurant, l’appelante pourra exercer son droit de visite de manière plus étendue en cas d’entente avec l’intimé à ce sujet, comme cela semble être le cas aujourd’hui. Mal fondé, le moyen doit être rejeté.</w:t>
      </w:r>
    </w:p>
    <w:p>
      <w:r>
        <w:rPr>
          <w:b/>
        </w:rPr>
        <w:t>E. 5</w:t>
      </w:r>
    </w:p>
    <w:p>
      <w:r>
        <w:t>a) Dans un troisième moyen, l’appelante conteste devoir être astreinte au paiement d’une contribution d’entretien en faveur de ses enfants Y.________ et Z.________. Elle fait valoir qu’elle bénéficiera prochainement d’une rente invalidité et qu’elle n’exercera par conséquent plus d’activité professionnelle. Elle conteste également certains des postes retenus dans les charges incompressibles de l’intimé, à savoir le loyer de 1'000 fr. de son atelier, et d’autres qui n’ont pas été retenus dans les siennes, à savoir ses frais de véhicule, les frais liés à la scolarité et aux devoirs surveillés de ses enfants ainsi que ses frais médicaux. Enfin, elle affirme que le loyer du studio loué à un tiers situé dans la maison familiale ne lui est pas rétrocédé. b) D'après l'art. 176 al. 1 ch. 1 CC,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 – 40 % ou de deux tiers – un tiers (Perrin, La méthode du minimum vital, in SJ 1993, p. 447).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ATF 129 III 577; TF 5A_685/2007 du 26 février 2008 c. 2.3 ; TF 5A_170/2007 du 27 juin 2007 c. 3.1).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cependant aussi tenir compte des possibilités de gain qui n’exigent pas de formation professionnelle achevée et se situent dans la tranche des bas salaires (ATF 137 III 118 c. 3.1, JT 2011 II 486 ; TF 5A_21/2012 du 3 mai 2012 c. 3.3).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1'350 fr. pour un débiteur monoparental, à 850 fr. pour un débiteur vivant en concubinage et à 600 fr. pour chaque enfant de plus de 10 ans –, les frais de logement, les coûts de santé (avant tout les primes d’assurance-maladie obligatoire, mais également le montant de la franchise et la part des frais médicaux qui demeure à la charge de l’assuré lorsqu’il est certain que celui-ci devra assumer des frais médicaux [JT 2003 II 104]), les frais de déplacement et de repas hors du domicile, s’ils sont indispensables à l’exercice de la profession, ainsi que, selon les circonstances, les frais liés à l’exercice du droit de visite, les impôts et les dettes contractées d’entente pour l’entretien du ménage (Chaix, op. cit., n. 9 ad art. 176 CC et les réf. citées ; Bastons Bulletti, L’entretien après divorce : méthodes de calcul, montant, durée et limites, in SJ 2007 II, pp. 84-88).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 TF 5P.238/2005 du 28 novembre 2005). c) En l’espèce, contrairement à ce que soutient l’appelante, il ne ressort pas des pièces produites en appel qu’elle aura prochainement droit à une rente invalidité, la pièce 30 attestant uniquement du fait que ce droit est actuellement à l’examen. C’est donc à juste titre qu’une capacité de gains – modeste – a été retenue en l’état par le premier juge. C’est également à bon droit que le premier juge a tenu compte du loyer de l’atelier pour déterminer le revenu mensuel net que retire l’appelant de son activité de démolition de voitures et de vente de pièces détachées, puisqu’il s’agit d’une charge effective. S’agissant des frais scolaires, la pièce produite (pièce 32) ne démontre pas que ces frais auraient été assumés par l’appelante, puisqu’ils ont été débités d’un compte commun aux parties. Il en va de même des frais médicaux, étant précisé que le premier juge a retenu dans les charges mensuelles de l’appelante un montant de 100 fr. à ce titre, en raison des problèmes de santé de celle-ci. Enfin, l’appelante n’explique pas en quoi l’utilisation d’un véhicule serait indispensable à l’exercice de sa profession, interrompu pour l’instant, ou au transport des enfants, qu’elle reçoit pour l’exercice du droit de visite. Il en découle que les revenus et les charges des parties ont été calculés correctement par le premier juge, de sorte que la contribution d’entretien qu’il a fixée doit être confirmée. Mal fondé, le moyen de l’appelante doit donc être rejeté. Cela étant, dans la mesure où le loyer encaissé pour le studio se trouvant dans la maison familiale a été comptabilisé par le premier juge dans les revenus de l’appelante, il convient, afin d’éviter toute ambiguïté, de compléter d’office le chiffre V du dispositif en ce sens que c’est l’intimé qui assumera les charges et les intérêts hypothécaires de l’immeuble, le loyer du studio étant dû à l’appelante.</w:t>
      </w:r>
    </w:p>
    <w:p>
      <w:r>
        <w:rPr>
          <w:b/>
        </w:rPr>
        <w:t>E. 6</w:t>
      </w:r>
    </w:p>
    <w:p>
      <w:r>
        <w:t>En conclusion, l’appel doit être rejeté, en application de l’art. 312 al. 1 CPC, et l’ordonnance complétée d’office au chiffre V de son dispositif en ce sens que le loyer du studio se trouvant dans le domicile conjugal est dû à l’appelante, l’ordonnance étant confirmée pour le surplus. L’appel était d’emblée dépourvu de toute chance de succès, de sorte que la requête d’assistance judiciaire de l’appelante doit être rejetée (art. 117 let. b CPC). On renoncera toutefois exceptionnellement à mettre des frais judiciaires de deuxième instance à la charge de l’appelante qui succombe, dès lors notamment qu’aucune avance n’a été demandée (art. 112 al. 1 CPC) Il n’y a pas matière à l’allocation de dépens de deuxième instance, l’intimé n’ayant pas été invité à se déterminer sur l’appel. Par ces motifs, le juge délégué de la Cour d’appel civile du Tribunal cantonal, statuant à huis clos, en application de l'art. 312 al. 1 CPC, prononce : I. L’appel est rejeté. II. Le chiffre V du dispositif de l’ordonnance est complété d’office en ce sens que le loyer du studio se trouvant dans le domicile conjugal est dû à A.B.________. III. L’ordonnance est confirmée pour le surplus. IV. La requête d’assistance judiciaire est rejetée. V. L’arrêt est rendu sans frais. VI. L’arrêt motivé est exécutoire. Le juge délégué : Le greffier : Du</w:t>
      </w:r>
    </w:p>
    <w:p>
      <w:r>
        <w:rPr>
          <w:b/>
        </w:rPr>
        <w:t>E. 10</w:t>
      </w:r>
    </w:p>
    <w:p>
      <w:r>
        <w:t>octobre 2012 Le dispositif de l'arrêt qui précède est communiqué par écrit aux intéressés. Le greffier : Du L'arrêt qui précède, dont la rédaction a été approuvée à huis clos, est notifié en expédition complète, par l'envoi de photocopies, à : ‑ Me Thierry de Mestral (pour A.B.________) ‑ Me Paul-Arthur Treyvaud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