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632 vom 2. Oktober 2012</w:t>
      </w:r>
    </w:p>
    <w:p>
      <w:r>
        <w:t>VD Tribunal cantonal, 2012-10-02, FR</w:t>
      </w:r>
    </w:p>
    <w:p>
      <w:r>
        <w:rPr>
          <w:b/>
        </w:rPr>
        <w:t xml:space="preserve">Quelle: </w:t>
      </w:r>
      <w:r>
        <w:t>https://mcp.opencaselaw.ch/entscheid/vd_findinfo_HC___2012___632</w:t>
      </w:r>
    </w:p>
    <w:p>
      <w:r>
        <w:t>FR: VD_FINDINFO HC / 2012 / 632 du 2 octobre 2012</w:t>
      </w:r>
    </w:p>
    <w:p>
      <w:r>
        <w:t>IT: VD_FINDINFO HC / 2012 / 632 del 2 ottobre 2012</w:t>
      </w:r>
    </w:p>
    <w:p>
      <w:pPr>
        <w:pStyle w:val="Heading2"/>
      </w:pPr>
      <w:r>
        <w:t>Regeste</w:t>
      </w:r>
    </w:p>
    <w:p>
      <w:r>
        <w:t>AVOCAT D'OFFICE, INDEMNITÉ{EN GÉNÉRAL}, HONORAIRES | 110 CPC (CH), 122 al. 1 let. a CPC (CH), 319 let. b ch. 1 CPC (CH), 320 CPC (CH), 322 al. 1 CPC (CH), 2 al. 1 RAJ</w:t>
      </w:r>
    </w:p>
    <w:p>
      <w:pPr>
        <w:pStyle w:val="Heading2"/>
      </w:pPr>
      <w:r>
        <w:t>Erwägungen</w:t>
      </w:r>
    </w:p>
    <w:p>
      <w:r>
        <w:rPr>
          <w:b/>
        </w:rPr>
        <w:t>E. 1</w:t>
      </w:r>
    </w:p>
    <w:p>
      <w:r>
        <w:t>Selon l'art. 319 let. b ch. 1 CPC (Code de procédure civile du 19 décembre 2008; RS 272), le recours est recevable contre les autres décisions et ordonnances d'instruction de première instance dans les cas prévus par la loi. En l'espèce, le litige porte sur le montant de l'indemnité allouée au conseil d'office. La question de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 rémunération du conseil juridique commis d'office est réglée par l'art. 122 CPC, figurant au chapitre qui règlemente l'assistance judiciaire et qui comprend les art. 117 à 123 CPC. En appliquant par analogie l'art. 119 al. 3 CPC, lequel prévoit la procédure sommaire lorsque le tribunal statue sur la requête d'assistance judiciaire, on en déduit que dite procédure est applicable par analogie lorsque le tribunal statue sur l'indemnité du conseil d'office. Dès lors, le recours s'exerce dans les dix jours (art. 321 al. 2 CPC) lorsqu'il est dirigé contre une décision dont l'objet se borne à la fixation d'une indemnité d'avocat d'office. La jurisprudence et la doctrine admettent que le conseil juridique dispose à titre personnel d'un droit de recours au sujet de la rémunération équitable accordée (ATF 131 V 153 c. 1; Tappy, op. cit., n. 22 ad art. 122 CPC, p. 503). Formé en temps utile par une partie qui y a un intérêt digne de protection (art. 59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lI, 2 ème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En substance, le recourant se plaint de ce que son indemnité a été fixée par le premier juge en méconnaissance des particularités du litige, la séparation des époux V.________ ayant été particulièrement difficile. Ce serait donc de manière subjective et arbitraire que le premier juge aurait considéré que le temps de travail de 20 heures et 25 minutes annoncé pour l'accomplissement de son mandat était excessif. Le recourant conclut dès lors à ce que l'indemnité soit fixée sur la base de la durée annoncée, au tarif horaire de 180 fr., TVA par 8% en sus. La rémunération des débours n'est pas litigieuse.</w:t>
      </w:r>
    </w:p>
    <w:p>
      <w:r>
        <w:rPr>
          <w:b/>
        </w:rPr>
        <w:t>E. 4</w:t>
      </w:r>
    </w:p>
    <w:p>
      <w:r>
        <w:t>Aux termes de l'art. 122 al. 1 let. a CPC, le conseil juridique commis d'office est rémunéré équitablement par le canton. L'avocat d'office a droit au remboursement intégral de ses débours s'inscrivant dans le cadre de l'accomplissement normal de sa tâche, plus à une indemnité s'apparentant aux honoraires d'un avocat de choix, mais qui peut être inférieure à ces honoraires (ATF 122 I 1 c. 3a; ATF 117 la 22 c. 4a; TF 6B_745/2009 du 12 novembre 2009 c. 10.1; TF 6B_273/2009 du 2 juillet 2009 c. 2.1; TF 6B_960/2008 du 22 janvier 2009 c. 1.1; TF 6B_947/2008 du 16 janvier 2009 c. 2; Tappy, op. cit., n. 8 ad art. 122 CPC, p. 500). L'indemnité doit non seulement couvrir les frais généraux de l'avocat, mais aussi lui permettre de réaliser un gain modeste et non seulement symbolique (ATF 132 I 201 c. 8.6). Selon la jurisprudence constante du Tribunal fédéral, l'autorité, pour déterminer la quotité de l'indemnité,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109 la 107 c. 3b; ATF 117 la 22 précité c. 3a; TF 6B_745/2009 du 12 novembre 2009 c. 10.1; TF 6B_273/2009 du 2 juillet 2009 c. 2.1; TF 6B_102/2009 du 14 avril 2009 c. 2; TF 6B_960/2008 du 22 janvier 2009 c. 1.1; TF 6B_947/2008 du 16 janvier 2009 c. 2). Dans le canton de Vaud, l'art. 2 al.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précité c. 3a; ATF 117 la 22 précité c.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du bénéficiaire de l'assistance judiciaire ou qui consistent en un soutien moral (TF 5P_462/2002 du 30 janvier 2003; Pdt TC 23 juillet 2001/37); l'avocat doit toutefois bénéficier d'une marge d'appréciation suffisante pour déterminer l'importance du travail qu'exige l'affaire.</w:t>
      </w:r>
    </w:p>
    <w:p>
      <w:r>
        <w:rPr>
          <w:b/>
        </w:rPr>
        <w:t>E. 5</w:t>
      </w:r>
    </w:p>
    <w:p>
      <w:r>
        <w:t>En l'espèce, le recourant a produit une liste intermédiaire pour des opérations effectuées du 15 juin 2012 au 24 juillet 2012 qui auraient représenté une durée de 20 heures et 25 minutes de travail. On peut d'emblée relever que le poste "ouverture du dossier" fait partie des frais généraux, au même titre que celui intitulé "rédaction d'une liste des opérations" qui est une opération de clôture du dossier. Ces deux postes, devisés à trente minutes au total, n'ont pas à figurer dans la liste des opérations. Si l'on se réfère aux écritures au dossier, on constate que le recourant s'est borné à conclure au rejet d'une requête de mesures préprovisionnelles dans une lettre d'une page et demie. Il a confectionné un bordereau de pièces en vue de l'audience du 23 juillet 2012, lors de laquelle il a assisté sa cliente. Cette audience a duré une heure et quarante minutes et les parties ont trouvé un accord sur les points qui restaient litigieux. D'un point de vue procédural, l'intervention du recourant a nécessité un travail minimal : on doit ainsi réduire le poste "Etude de pièces, recherches juridiques et de jurisprudence" à quinze minutes au lieu des deux heures et quinze minutes annoncées. La rédaction de la détermination sur la requête de mesures préprovisionnelles est comprise dans le poste "correspondances". Le recourant a compté quatre heures et quarante-cinq minutes pour cinq entretiens avec la cliente et trois passages de 25 minutes de celle-ci à son étude. Là encore, ce poste est manifestement excessif. Il n'est pas contesté que A.V.________ a pu apparaître comme étant particulièrement déstabilisée par la situation. Mais le poste "entretiens téléphoniques : 5 heures 15" et "correspondan-ces : 4 heures" tient largement compte des particularités du mandat. De plus, contrairement à ce que soutient le recourant, A.V.________ n'était pas sans secours : elle bénéficiait à titre personnel d'une thérapeute, tandis que l'entier de sa famille était au bénéfice d'un suivi socio-éducatif. On peut dès lors ramener à une heure la durée de la conférence nécessaire à la tenue de l'audience. Enfin, le poste "audience et déplacement du 14 avril 2011 (recte : 23 juillet 2012) : 3 heures 30" doit être réduit d'une heure sachant que l'audience a duré une heure et quarante minutes et que les heures facturées pour le déplacement n'ont pas à être rémunérées dans leur intégralité. En définitive, la décision du premier juge n'a rien d'arbitraire. La rémunération allouée est même généreuse au vu du calcul auquel parvient la Cour de céans.</w:t>
      </w:r>
    </w:p>
    <w:p>
      <w:r>
        <w:rPr>
          <w:b/>
        </w:rPr>
        <w:t>E. 6</w:t>
      </w:r>
    </w:p>
    <w:p>
      <w:r>
        <w:t>Il résulte de ce qui précède que le recours doit être rejeté, en application de l'art. 322 al. 1 CPC, et le prononcé entrepris confirmé. Les frais judiciaires de deuxième instance, arrêtés à 100 fr., doivent être mis à la charge du recourant, qui succombe (art. 106 al. 1 CPC). Par ces motifs, la Chambre des recours civile du Tribunal cantonal, statuant à huis clos, en application de l'art. 322 al. 1 CPC, prononce : I. Le recours est rejeté. II. Le prononcé est confirmé. III. Les frais judiciaires de deuxième instance, arrêtés à 100 fr. (cent francs), sont mis à la charge du recourant D.________. IV. L'arrêt motivé est exécutoire. Le président :               Le greffier : Du 3 octobre 2012 Le dispositif de l'arrêt qui précède est communiqué par écrit aux intéressés. Le greffier : Du L'arrêt qui précède, dont la rédaction a été approuvée à huis clos, est notifié en expédition complète, par l'envoi de photocopies, à : ‑ Me D.________, ‑ A.V.________. La Chambre des recours civile considère que la valeur litigieuse est de 1'053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