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629 vom 3. September 2012</w:t>
      </w:r>
    </w:p>
    <w:p>
      <w:r>
        <w:t>VD Tribunal cantonal, 2012-09-03, FR</w:t>
      </w:r>
    </w:p>
    <w:p>
      <w:r>
        <w:rPr>
          <w:b/>
        </w:rPr>
        <w:t xml:space="preserve">Quelle: </w:t>
      </w:r>
      <w:r>
        <w:t>https://mcp.opencaselaw.ch/entscheid/vd_findinfo_HC___2012___629</w:t>
      </w:r>
    </w:p>
    <w:p>
      <w:r>
        <w:t>FR: VD_FINDINFO HC / 2012 / 629 du 3 septembre 2012</w:t>
      </w:r>
    </w:p>
    <w:p>
      <w:r>
        <w:t>IT: VD_FINDINFO HC / 2012 / 629 del 3 settembre 2012</w:t>
      </w:r>
    </w:p>
    <w:p>
      <w:pPr>
        <w:pStyle w:val="Heading2"/>
      </w:pPr>
      <w:r>
        <w:t>Regeste</w:t>
      </w:r>
    </w:p>
    <w:p>
      <w:r>
        <w:t>REGISTRE DU COMMERCE, INSCRIPTION, QUALITÉ DE PARTIE, MESURE PROVISIONNELLE, OPPOSITION{PROCÉDURE} | 940 CO, 162 ORC, 308 al. 1 let. b CPC (CH), 308 al. 2 CPC (CH), 310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on peut admettre, dans le cas particulier, que celle-ci est supérieure à 10'000 fr., au regard des intérêts des appelants. Formé en temps utile (cf. c.</w:t>
      </w:r>
    </w:p>
    <w:p>
      <w:r>
        <w:rPr>
          <w:b/>
        </w:rPr>
        <w:t>E. 4</w:t>
      </w:r>
    </w:p>
    <w:p>
      <w:r>
        <w:t>Les intimés soutiennent que l'appel est de toute manière tardif, dès lors que les intéressés avaient connaissance, depuis plusieurs mois, de la décision attaquée, celle-ci ayant été versée au dossier pénal.</w:t>
      </w:r>
    </w:p>
    <w:p>
      <w:r>
        <w:rPr>
          <w:b/>
        </w:rPr>
        <w:t>E. 4.1</w:t>
      </w:r>
    </w:p>
    <w:p>
      <w:r>
        <w:t>Un principe général du droit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 8b p. 238). Ainsi, le destinataire d'un prononcé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le justiciable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 1 p. 197; ATF 119 IV 330 c. 1c pp.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 2a et les références citées). Ce principe vaut pour tous les domaines du droit. Le Tribunal fédéral a, à plusieurs reprises, jugé que le délai de recours est respecté lorsque le recourant agit dans le délai légal à compter du moment où il pouvait de bonne foi prendre connaissance de la décision contestée (ATF 102 lb 91 c. 4 p. 95; ATF 98 lb 13 c. 4 p. 17; ATF 96 I 686 c. 1d p. 691).</w:t>
      </w:r>
    </w:p>
    <w:p>
      <w:r>
        <w:rPr>
          <w:b/>
        </w:rPr>
        <w:t>E. 4.2</w:t>
      </w:r>
    </w:p>
    <w:p>
      <w:r>
        <w:t>A la lecture du dossier pénal n° PE11-[...], on ne saurait retenir que les appelants auraient agi de manière contraire à la bonne foi en ne contestant pas immédiatement la décision attaquée. En effet, contrairement aux allégations des intimés, les appelants ne pouvaient avoir connaissance de cette ordonnance par le biais du dossier pénal, dès lors qu'elle n'y figure pas. Pour le reste, les appelants avaient certes connaissance de la première ordonnance ainsi que de la procédure ouverte par les intimés. On ne saurait toutefois leur reprocher de ne pas avoir immédiatement agi, ni de ne pas s'être régulièrement renseignés sur l'état de la procédure, dès lors que le premier juge leur a refusé le droit de participer à la procédure et ne leur a pas notifié le dispositif de la décision entreprise. Enfin, on ne saurait admettre que les appelants auraient renoncé à être parties à la procédure au motif qu'ils ont retiré leur demande à être considérés comme partie dans cette cause ainsi que leur recours au Tribunal cantonal. En effet, la question de savoir qui a la qualité pour défendre doit être élucidée d'office par le juge et les intéressés peuvent appeler d'une décision qui leur a dénié cette qualité, même implicitement. En outre, on ne saurait renoncer à une qualité qui se définit selon le droit de fond et ne dépend donc pas de la volonté des parties.</w:t>
      </w:r>
    </w:p>
    <w:p>
      <w:r>
        <w:rPr>
          <w:b/>
        </w:rPr>
        <w:t>E. 5</w:t>
      </w:r>
    </w:p>
    <w:p>
      <w:r>
        <w:t>Les intimés W.________ et K.________ soutiennent que les appelants ne peuvent se prévaloir d'aucun droit à être maintenus dans leur fonction d'administrateurs et que le conservateur du registre du commerce ne pouvait procéder à l'inscription litigieuse. En l'état, il n'y a pas lieu d'examiner le fond de la cause. En effet, les appelants n'ont pu participer et faire valoir leurs droits en première instance et ce vice ne saurait être réparé en procédure d'appel, le droit des parties à la double instance devant être garanti.</w:t>
      </w:r>
    </w:p>
    <w:p>
      <w:r>
        <w:rPr>
          <w:b/>
        </w:rPr>
        <w:t>E. 6</w:t>
      </w:r>
    </w:p>
    <w:p>
      <w:r>
        <w:t>septembre 2012 Le dispositif de l'arrêt qui précède est communiqué par écrit aux intéressés. Le greffier : Du L'arrêt qui précède, dont la rédaction a été approuvée à huis clos, est notifié en expédition complète, par l'envoi de photocopies à : ‑ H.________, ‑ B.________, ‑ Me Yves Hofstetter (pour Z.________), ‑ Me François Roux (pour W.________ et K.________), ‑ Registre du commerce du canton de Vaud.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