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625 vom 20. September 2012</w:t>
      </w:r>
    </w:p>
    <w:p>
      <w:r>
        <w:t>VD Tribunal cantonal, 2012-09-20, FR</w:t>
      </w:r>
    </w:p>
    <w:p>
      <w:r>
        <w:rPr>
          <w:b/>
        </w:rPr>
        <w:t xml:space="preserve">Quelle: </w:t>
      </w:r>
      <w:r>
        <w:t>https://mcp.opencaselaw.ch/entscheid/vd_findinfo_HC___2012___625</w:t>
      </w:r>
    </w:p>
    <w:p>
      <w:r>
        <w:t>FR: VD_FINDINFO HC / 2012 / 625 du 20 septembre 2012</w:t>
      </w:r>
    </w:p>
    <w:p>
      <w:r>
        <w:t>IT: VD_FINDINFO HC / 2012 / 625 del 20 settembre 2012</w:t>
      </w:r>
    </w:p>
    <w:p>
      <w:pPr>
        <w:pStyle w:val="Heading2"/>
      </w:pPr>
      <w:r>
        <w:t>Regeste</w:t>
      </w:r>
    </w:p>
    <w:p>
      <w:r>
        <w:t>DROIT DE GARDE, OBLIGATION D'ENTRETIEN, MESURE PROVISIONNELLE | 176 al. 1 ch. 1 CC, 176 al. 3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En présence d’une ordonnance cumulant des conclusions non patrimoniales et des conclusions patrimoniales inférieures à 10'000 fr., l’appel est recevable pour le tout, pour autant que les conclusions non patrimoniales restent litigieuses et ne paraissent pas secondaires (Tappy, Les voies de droit du nouveau Code de procédure civile, in JT 2010 III 115, spéc. p. 126).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Formés en temps utile par des parties qui y ont intérêt (art. 59 al. 2 let. a CPC) et portant sur des conclusions respectivement en partie non patrimoniales et patrimoniales ayant une valeur litigieuse, capitalisée selon l’art. 92 CPC, supérieure à 10'000 fr., les appels sont tous deux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in CPC commenté, Bâle 2011, n. 5 ad art. 296 CPC et les réf. citées ; JT 2011 III 43). En l’espèce, le litige porte notamment sur le sort et l’entretien d’enfants mineurs, de sorte que les pièces produites en deuxième instance sont recevables ; elles ont ainsi été prises en compte dans la mesure de leur utilité pour l’examen de la cause.</w:t>
      </w:r>
    </w:p>
    <w:p>
      <w:r>
        <w:rPr>
          <w:b/>
        </w:rPr>
        <w:t>E. 3</w:t>
      </w:r>
    </w:p>
    <w:p>
      <w:r>
        <w:t>a) Dans un premier moyen, l’appelante reproche au premier juge d’avoir confié la garde de l’enfant Z.________ à son père. Elle fait d’abord valoir que la garde ce cet enfant lui a été confiée dès la séparation et qu’il ne se justifie pas d’en modifier l’attribution alors que les deux parents ont des compétences égales ; à cet égard, elle précise que, si elle a déménagé dans un village situé à une dizaine de kilomètres de l’endroit où Z.________ a vécu jusque-là, cela ne causera aucune difficulté. Elle soutient ensuite que l’argument tiré de la scolarité de cet enfant est irrelevant, puisque celui-ci a été enclassé dès la rentrée scolaire d’août 2012 non pas à Orbe, mais à Baulmes, et que ce village se situe à mi-distance entre le domicile du père, à Montcherand, et celui de la mère, à Chamblon. L’appelante ajoute que les liens entre les enfants Y.________ et Z.________ ne sont pas aussi forts que retenus par la présidente et que ceux-ci se chamaillent en réalité beaucoup. L’appelante relève enfin que si la garde de Z.________ lui était confiée, [...] pourrait s’en occuper en cas de besoin ; par ailleurs, l’enfant bénéficierait de conditions idéales s’il était scolarisé à Chamblon. Au surplus, l’appelante fait valoir les liens particuliers qui l’unissent à son fils Z.________ depuis l’accouchement et un grave incident opératoire survenu à cette occasion. b) En vertu de l'art. 176 al. 3 CC (Code civil suisse du 10 décembre 1907, RS 210) relatif à l'organisation de la vie séparée, applicable par le renvoi de l’art. 276 CPC,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 les principes posés par la jurisprudence et la doctrine en matière de divorce sont alors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Même si ce critère jouit d’un poids particulier lorsque les capacités d'éducation et de soin des parents sont similaires, le juge ne peut se contenter d'attribuer l'enfant au parent qui en a eu la garde pendant la procédure (ATF 117 II 353 c. 3 ; ATF 115 II 206 c. 4a ; ATF 115 II 317 c. 2 ; ATF 114 II 200 c. 5 ; ATF 112 II 381 c. 3 ; cf. aussi FamPra.ch 4/2008, n. 104, p. 98 ; TF 5A_181/2008 du 25 avril 2008 ; FamPra.ch 1/2006, n. 20, p. 193 ; TF 5C.238/2005 du 2 novembre 2005). Par ailleurs,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 e éd., Zurich 2009, n. 452, p. 287 ; Juge délégué CACI 5 avril 2011/27). c) En l’espèce, on peut donner acte à l’appelante qu’un lien fort l’unit à ses enfants, notamment à Z.________, et que son déménagement à Chamblon n’entraîne pas de difficultés pratiques majeures. On peut également lui donner acte que les conditions de vie à Chamblon seraient satisfaisantes pour cet enfant. Cela étant, les deux parents ont en l’occurrence des capacités éducatives équivalentes, ce qui ressort des divers témoignages et n’est d’ailleurs pas contesté par les parties. Dans ces circonstances, le critère de la disponibilité des parents apparaît déterminant. A cet égard, il ressort du dossier que la disponibilité du père est supérieure à celle de la mère. Le père, qui est enseignant, bénéficie en effet de souplesse dans l’aménagement de son temps de travail. Son horaire actuel lui permet ainsi de manger à midi avec ses enfants quatre jours sur cinq durant la semaine et d’être présent tous les jours en fin d’après-midi, alors que la mère, si elle est toujours disponible à midi, ne l’est généralement pas en fin d’après-midi ; de surcroît, le père est disponible pour ses enfants toutes les vacances scolaires, soit durant treize semaines par an. S’il est vrai que le transfert du droit de garde d’un parent à l’autre peut causer certaines difficultés d’adaptation et créer une instabilité chez l’enfant, ce critère n’apparaît pas déterminant en l’espèce. En effet, l’appelante a déménagé cet été d’Orbe à Chamblon pour vivre avec son ami, ce qui entraînerait un changement de lieu de vie et d’école même si la garde de Z.________ lui restait acquise ; en vivant à Montcherand avec son père, Z.________ habitera dans l’ancien appartement familial et gardera le même environnement scolaire, même s’il devra changer d’établissement en passant de l’école enfantine à l’école primaire. Le fait que l’octroi de l’effet suspensif, usuel dans ce genre de circonstances, ait permis à l’enfant de suivre sa mère à Chamblon et de commencer l’école à Baulmes ne doit pas être pris en considération, faute de quoi l’octroi de l’effet suspensif à l’appel de B.B.________ aurait préjugé l’issue de la procédure. Au surplus, même si cet élément n’est pas décisif dès lors que la fratrie est de toute façon séparée, il apparaît opportun qu’Y.________ et Z.________ ne soient pas séparés. Malgré un écart d’âge relativement élevé, cet écart reste en effet plus faible que celui existant entre X.________ et Z.________ ; au surplus, Y.________ et Z.________ partagent certains centres d’intérêt et sont très liés, comme en attestent les déclarations d’Y.________ en première instance, qui a fait part de son souhait de ne pas être séparé de son jeune frère. Le fait qu’Y.________ et Z.________ se chamaillent occasionnellement n’est manifestement pas de nature à remettre en cause de tels liens. On relèvera enfin que les témoignages écrits versés au dossier doivent être écartés dans la mesure où ils ne sont pas corroborés par des pièces. Par ailleurs, le fait que le beau-père d’A.B.________ ait tendance à boire de l’alcool n’est pas relevant, dès lors qu’il n’est pas prévu que celui-ci garde l’enfant Z.________. Au vu de ce qui précède, c’est à juste titre que la garde de l’enfant Z.________ a été confiée à son père. Mal fondé, le moyen de l’appelante doit être rejeté. L’appelante n’ayant pas pris de conclusions subsidiaires en matière de droit de visite pour le cas où la garde de l’enfant Z.________ serait attribuée à son père et celui-ci ne contestant pas le droit de visite accordé à la mère par le premier juge, le droit de visite prévu dans l’ordonnance de mesures provisionnelles sera maintenu. Celui-ci correspond en effet aux besoins de l’enfant et il n’y a dès lors aucun motif de le modifier d’office.</w:t>
      </w:r>
    </w:p>
    <w:p>
      <w:r>
        <w:rPr>
          <w:b/>
        </w:rPr>
        <w:t>E. 4</w:t>
      </w:r>
    </w:p>
    <w:p>
      <w:r>
        <w:t>a) Dans un deuxième moyen, les parties contestent la contribution d’entretien mise à la charge d’A.B.________. Si elles ne contestent pas la méthode utilisée par la présidente, à savoir la méthode dite du minimum vital avec répartition de l’excédent, elles contestent certains des postes retenus dans le budget des parties. Leurs griefs étant nombreux, il conviendra de les examiner séparément. 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(Perrin, La méthode du minimum vital, in SJ 1993, p.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850 fr. pour un débiteur vivant en concubinage, à 400 fr. pour chaque enfant de moins de 10 ans et à 600 fr. pour chaque enfant de plus de 10 ans –, les frais de logement, les coûts de santé (avant tout les primes d’assurance-maladie obligatoire), les frais de déplacement et de repas hors du domicile, s’ils sont indispensables à l’exercice de la profession, ainsi que les dettes contractées d’entente pour l’entretien du ménage (Chaix, op. cit., n. 9 ad art. 176 CC et les réf. citées). c) aa) Les deux parties contestent d’abord le montant de 2'100 fr. retenu par la présidente au titre de frais de logement d’A.B.________. Celui-ci soutient que ses frais s’élèvent en réalité à 2'250 fr., tandis que B.B.________ estime que les frais retenus sont trop élevés. En l’espèce, les charges annuelles liées à la maison de Montcherand, telles qu’attestées par pièces et retenues par le premier juge, comprennent une prime d’assurance ECA de 543 fr. 95, une prime d’assurance [...] de 686 fr. 20, des frais d’eau, d’épuration et de déchets par 436 fr. 10, des frais d’adoucissement d’eau par 341 fr. 30, un impôt foncier de 386 fr. 40, des frais de ramonage par 108 fr. 80, des intérêts hypothécaires par 14'525 fr., un amortissement indirect de 5'718 fr., soit un montant total de 22'745 fr. 75, ce qui représente une charge mensuelle de 1'895 fr. ; à cela s’ajoutent des frais de chauffage estimés par la présidente à 200 francs. Contrairement à ce qu’affirme B.B.________, l’amortissement indirect de 5'718 fr. est obligatoire et doit ainsi être pris en compte. A.B.________ se limite quant à lui, pour l’essentiel, à se référer à son propre décompte, mais n’explique pas en quoi les chiffres retenus seraient erronés, de sorte que ses griefs seront écartés. S’agissant des frais de chauffage, ceux-ci ont été retenus à hauteur de 200 fr. par mois, ce qui est suffisant s’agissant d’une construction récente et écologique ; on ne saurait dès lors y ajouter encore 54 fr. de bois. Les frais d’entretien allégués par A.B.________ ne sont par ailleurs pas établis. Les griefs des parties portant sur les frais de logement d’A.B.________ doivent ainsi être écartés. bb) Les parties contestent ensuite le montant de 1'200 fr. retenu par la présidente au titre de frais de logement de B.B.________. Celle-ci soutient que ce poste s’élève en réalité à 1'800 fr., tandis que son mari est d’avis que ce poste ne dépasse par 1'000 fr. par mois. S’agissant de ce poste, de nombreuses pièces ont été produites, notamment en deuxième instance. B.B.________ a d’abord produit un décompte fantaisiste, lequel prenait en compte les charges relatives à un autre immeuble. Elle a allégué ensuite un montant de 1'800 fr. sur la base d’un contrat de bail établi par son compagnon ; un tel montant ne saurait toutefois être retenu, dès lors que le bail de la locataire précédente, à savoir l’ex-amie du bailleur, était inférieur, ce qui laisse supposer que le montant de 1'800 fr. est fictif. D’ailleurs, le conseil de B.B.________ a plaidé que sa cliente n’arrivait pas à le payer. En définitive, le montant retenu par le premier juge, qui n’est pas contredit par les pièces produites, apparaît correct et sera ainsi maintenu. cc) Les parties contestent en outre divers postes retenus dans le budget des parties, à savoir la participation aux frais médicaux des parties qui s’élèverait à 150 fr. pour le mari et à 100 fr. pour l’épouse, ainsi que la non-prise en compte de la prime d’assurance-accidents des enfants, des frais du repas du vendredi midi de l’enfant Z.________ supportés par le père et des frais d’écolage de l’enfant X.________ supportés par la mère. Ces griefs sont fondés. Il ressort en effet des pièces produites que les parties s’acquittent de primes d’assurance-accidents pour leurs enfants, lesquelles doivent être retenus à hauteur de 39 fr. dans le budget d’A.B.________ (primes pour les enfants Y.________ et Z.________) et de 7 fr. dans le budget de B.B.________ – la prime de l’enfant X.________ devant être payée par le parent gardien –, et que les frais médicaux s’élèvent à 150 fr. pour le mari et à 100 fr. pour son épouse. Par ailleurs, il est établi que le père devra supporter les frais du repas de midi de son fils Z.________ une fois par semaine, un montant de 20 fr. par mois pouvant être retenu à ce titre, et que la mère supporte des frais d’écolage pour sa fille de 50 fr. par mois. dd) L’appelant conteste enfin les montants retenus au titre de base mensuelle pour les enfants et au titre de supplément pour l’exercice du droit de visite. Il propose à ce sujet une méthode de calcul particulièrement compliquée tenant compte du large droit de visite de la mère. En réalité, les frais de base demeurent importants même avec un droit de visite élargi, de sorte qu’il ne se justifie pas de réduire les montants de base du minimum vital des enfants dans l’établissement de la situation financière des parties ; aussi, il y a lieu de retenir un montant de base de 1’000 fr. pour les enfants Y.________ et Z.________ (600 fr. + 400 fr.) dans le budget d’A.B.________ et de 600 fr. pour l’enfant  X.________ dans le budget de B.B.________. En revanche, il pourra être tenu compte du droit de visite élargi en retenant un supplément pour l’exercice du droit de visite dans le budget du parent visiteur, comme exposé ci-après, et en répartissant par moitié le disponible des parties après couverture de leurs charges incompressibles (cf. infra c. 4c/ee). S’agissant des frais liés à l’exercice du droit de visite, ceux-ci sont en principe à la charge du parent visiteur si sa situation économique est meilleure ou égale à celle du parent gardien. Si sa situation est moins favorable, les frais d’exercice du droit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(cf. arrêt TF 5C.282/2002 du 27 mars 2003). Il est ainsi admis que les frais liés à l’exercice du droit de visite puissent, à certaines conditions, être pris en compte dans le calcul du minimum vital du parent visiteur (FamPra 2006, p. 198 ; Vetterli, in FamKomm Scheidung, 2 e éd., Berne 2010, n. 33 ad art. 176 CC). En l’espèce, il n’y a cependant pas lieu de compter un tel supplément parmi les charges d’A.B.________, dès lors que celui-ci est en froid avec sa fille que rien n’indique qu’il exerce effectivement son droit de visite. Un montant de 150 fr. peut en revanche être retenu à ce titre dans le budget de B.B.________, le montant de 450 fr. retenu par la présidente n’étant pas justifié, puisqu’il ne prend pas suffisamment en compte l’intérêt des enfants à la couverture de leur entretien. ee) Il découle de ce qui précède que les charges mensuelles d’A.B.________ comprennent ses frais de logement par 2'100 fr., sa prime d’assurance-maladie et celle de ses deux fils par 485 fr., une participation à ses frais médicaux par 150 fr., des frais de transport par 430 fr., des frais de repas par 200 fr., une charge fiscale de 838 fr., les primes d’assurance-accidents pour ses fils par 39 fr., les frais de repas du vendredi midi de l’enfant Z.________ par 20 fr., auxquelles s’ajoutent les montants de base du minimum vital de 1'200 fr. pour lui-même, de 600 fr. pour Y.________ et de 400 fr. pour Z.________, de sorte que ses charges s’élèvent au total à 6'462 francs. Compte tenu d’un revenu mensuel net de 8'212 fr., A.B.________ bénéficie ainsi d’un disponible mensuel de 1'750 francs. Les charges mensuelles de B.B.________ comprennent quant à elles des frais de logement par 1'200 fr., un supplément pour l’exercice du droit de visite de 150 fr., les primes d’assurance-maladie pour elle et sa fille par 407 fr., une participation à ses frais médicaux par 100 fr., des frais de transport par 144 fr., une charge fiscale de 500 fr., la prime d’assurance-accidents pour sa fille de 7 fr. ainsi que l’écolage de celle-ci par 50 fr., auxquelles s’ajoutent les montants de base du minimum vital de 850 fr. pour elle-même, dès lors qu’elle vit en concubinage, et de 600 fr. pour X.________, si bien que ses charges se montent au total à 4'008 francs. Réalisant un revenu mensuel net de 3'891 fr., B.B.________ subit un déficit mensuel de 117 francs. Compte tenu du fait que B.B.________ exerce un droit de visite élargi sur ses fils, il se justifie de répartir le solde restant après le comblement du déficit de l’épouse par moitié entre les époux. Aussi, la contribution théorique due par A.B.________ pour l’entretien de son épouse et de sa fille doit être fixée à 933 fr. 50 (117 fr. + [1'750 fr. ./. 117 fr.] / 2), montant que l’on arrondira en équité à 1'000 fr. par mois. A ce montant s’ajouteront l’allocation familiale perçue pour X.________ et le tiers de l’allocation pour famille nombreuse. Il en résulte que le moyen de l’appelant est bien fondé, tandis que celui de l’appelante est mal fondé.</w:t>
      </w:r>
    </w:p>
    <w:p>
      <w:r>
        <w:rPr>
          <w:b/>
        </w:rPr>
        <w:t>E. 5</w:t>
      </w:r>
    </w:p>
    <w:p>
      <w:r>
        <w:t>En conclusion, l’appel d’A.B.________ doit être partiellement admis, l’appel de B.B.________ rejeté et l’ordonnance de mesures provisionnelles du 17 juillet 2012 réformée en ce sens qu’A.B.________ contribuera à l’entretien de son épouse et de sa fille X.________ par le versement d’une pension mensuelle de 1'000 fr. par mois dès le 1 er août 2012, étant précisé que la mère est elle-même dispensée du versement d’une contribution pour l’entretien de ses fils Y.________ et Z.________ et que les allocations familiales reviendront à hauteur de 513 fr. à A.B.________ et pour le solde à B.B.________. Les frais judiciaires de l’appel de B.B.________, arrêtés à 1'163 fr. 80 – soit 600 fr. d’émolument (art. 65 al. 2 TFJC [Tarif des frais judiciaires civils du 28 septembre 2010, RSV 270.11.5] et 563 fr. 80 de frais d’audition de témoins (art. 2 al. 1 TFJC), ceux-ci ayant été entendus sur la question de la garde de l’enfant Z.________, objet de cet appel –, seront laissés à la charge de l’Etat, dès lors que l’appelante, qui succombe, plaide au bénéfice de l’assistance judiciaire (art. 106 al. 1 et 122 al. 1 let. b CPC). Les frais judiciaires de l’appel d’A.B.________, arrêtés à 600 fr. (art. 65 al. 2 TFJC), doivent être mis à la charge de chacune des parties par moitié et seront dès lors mis à la charge de l’appelant par 300 fr. et laissés à la charge de l’Etat par 300 fr. (art. 106 al. 2 CPC) Vu l’issue du litige, B.B.________ versera à A.B.________ des dépens réduits de deuxième instance, arrêtés à 800 fr. (art. 7 TDC [Tarif des dépens en matière civile du 23 novembre 2010, RSV 270.11.6]).</w:t>
      </w:r>
    </w:p>
    <w:p>
      <w:r>
        <w:rPr>
          <w:b/>
        </w:rPr>
        <w:t>E. 6</w:t>
      </w:r>
    </w:p>
    <w:p>
      <w:r>
        <w:t>Le conseil d’office de B.B.________ a déposé, le 10 septembre 2012, une liste des opérations, dont il ressort qu’il a consacré 25 heures à la procédure d’appel. Vu l’ampleur du litige et le travail accompli, il y a lieu de retenir 19 heures. Au tarif horaire de 180 fr. (art. 2 RAJ [Règlement sur l’assistance judiciaire en matière civile du 7 décembre 2010, RSV 211.02.3]), l’indemnité du conseil doit donc être fixée à 3'693 fr. 60, TVA comprise. Des débours peuvent en outre lui être alloués à hauteur de 67 fr. 50, TVA comprise. Aussi, l’indemnité d’office de Me Mary Monnin-Zwahlen doit être arrêtée à 3'761 fr. 10, TVA et débours compris. Dans la mesure de l’art. 123 CPC, la bénéficiaire de l’assistance judiciaire est tenue au remboursement des frais judiciaires et de l’indemnité à son conseil d’office mis à la charge de l’Etat. Par ces motifs, le juge délégué de la Cour d’appel civile du Tribunal cantonal, statuant à huis clos, prononce : I. L’appel de B.B.________ est rejeté. II. L’appel d’A.B.________ est partiellement admis. III. L’ordonnance est réformée comme il suit au chiffre V de son dispositif : V. dit qu’A.B.________ contribuera à l’entretien de son épouse et de sa fille X.________ par le versement d’une pension mensuelle, payable d’avance le premier de chaque mois en mains de B.B.________, de 1'000 fr. (mille francs) dès le 1 er août 2012, étant précisé que la mère est elle-même dispensée du versement d’une contribution pour l’entretien des enfants Y.________ et Z.________ et que les allocations familiales reviendront à hauteur de 513 fr. (cinq cent treize francs) à A.B.________ et pour le solde à B.B.________. L’ordonnance est confirmée pour le surplus. IV. Les frais judiciaires de l’appel de B.B.________, arrêtés à 1’163 fr. 80 (mille cent soixante-trois francs et huitante centimes), sont laissés à la charge de l’Etat. V. Les frais judiciaires de l’appel d’A.B.________, arrêtés à 600 fr. (six cents francs), sont mis à la charge d’A.B.________ par 300 fr. (trois cents francs) et laissés à la charge de l’Etat par 300 fr. (trois cents francs). VI. L’indemnité d’office de Me Mary Monnin-Zwahlen, conseil de B.B.________, est arrêtée à 3'761 fr. 10 (trois mille sept cent soixante et un francs et dix centimes), TVA et débours compris. VII. B.B.________ est, dans la mesure de l’art. 123 CPC, tenue au remboursement des frais judiciaires et de l’indemnité de son conseil d’office mis à la charge de l’Etat. VIII. B.B.________ doit verser à A.B.________ la somme de 800 fr. (huit cents francs) à titre de dépens de deuxième instance. IX. L’arrêt motivé est exécutoire. Le juge délégué : Le greffier : Du 21 septembre 2012 Le dispositif de l'arrêt qui précède est communiqué par écrit aux intéressés. Le greffier : Du L'arrêt qui précède, dont la rédaction a été approuvée à huis clos, est notifié en expédition complète, par l'envoi de photocopies à : ‑ Me Jérôme Bénédict (pour A.B.________) ‑ Me Mary Monnin-Zwahlen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