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621 vom 2. Oktober 2012</w:t>
      </w:r>
    </w:p>
    <w:p>
      <w:r>
        <w:t>VD Tribunal cantonal, 2012-10-02, FR</w:t>
      </w:r>
    </w:p>
    <w:p>
      <w:r>
        <w:rPr>
          <w:b/>
        </w:rPr>
        <w:t xml:space="preserve">Quelle: </w:t>
      </w:r>
      <w:r>
        <w:t>https://mcp.opencaselaw.ch/entscheid/vd_findinfo_HC___2012___621</w:t>
      </w:r>
    </w:p>
    <w:p>
      <w:r>
        <w:t>FR: VD_FINDINFO HC / 2012 / 621 du 2 octobre 2012</w:t>
      </w:r>
    </w:p>
    <w:p>
      <w:r>
        <w:t>IT: VD_FINDINFO HC / 2012 / 621 del 2 ottobre 2012</w:t>
      </w:r>
    </w:p>
    <w:p>
      <w:pPr>
        <w:pStyle w:val="Heading2"/>
      </w:pPr>
      <w:r>
        <w:t>Regeste</w:t>
      </w:r>
    </w:p>
    <w:p>
      <w:r>
        <w:t>LÉGITIMATION ACTIVE ET PASSIVE, PRINCIPE DE LA CONFIANCE{INTERPRÉTATION DU CONTRAT} | 2 CC, 55 CC</w:t>
      </w:r>
    </w:p>
    <w:p>
      <w:pPr>
        <w:pStyle w:val="Heading2"/>
      </w:pPr>
      <w:r>
        <w:t>Erwägungen</w:t>
      </w:r>
    </w:p>
    <w:p>
      <w:r>
        <w:rPr>
          <w:b/>
        </w:rPr>
        <w:t>E. 1</w:t>
      </w:r>
    </w:p>
    <w:p>
      <w:r>
        <w:t>a) L'appel est recevable contre les décisions incidentes de première instance dans les causes patrimoniales dont la valeur litigieuse au dernier état des conclusions devant l'autorité précédente dépasse 10'000 francs (art. 308 al. 1 let. a et al. 2 CPC [Code de procédure civile du 19 décembre 2008 ; RS 272]). Une décision incidente est une décision qui tranche une question qui pourrait entraîner la fin du procès s'il était statué en sens inverse (art. 237 al. 1 CPC). En l'espèce, la décision entreprise constitue une décision incidente, dès lors qu'elle rejette un moyen qui pourrait mettre fin à l'instance s'il était admis. Les conclusions dans leur dernier état en première instance s'élèvent à 27'389 fr. 50, de sorte que la voie de l'appel est ouverte. b) L'appel, écrit et motivé, est introduit auprès de l'instance d'appel, soit la Cour d'appel civile (art. 84 al. 1 LOJV [loi vaudoise d'organisation judiciaire du 12 décembre 1979 ; RSV 173.01]), dans les trente jours à compter de la notification de la décision motivée ou de la notification postérieure de la motivation (art. 311 al. 1 CPC). En l'espèce, interjeté en temps utile par une partie qui y a un intérêt (art. 59 al. 2 let. a CPC), le présent appel est recevable à la forme.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in JT 2010 III 115, p. 138). Il appartient à l'appelant de démontrer que ces conditions sont réalisées, de sorte que l'appel doit indiquer spécialement de tels faits et preuves nouveaux et motiver spécialement les raisons qui les rendent admissibles selon lui (ibid., pp. 136-147). En l'espèce, l'appelant a produit deux pièces nouvelles (P. 203 et 204), datées du 17 février 2009 et du 18 octobre 2010, sans toutefois indiquer pour quelle raison il n'a pas été en mesure de les produire en première instance, de sorte qu'elles sont irrecevables.</w:t>
      </w:r>
    </w:p>
    <w:p>
      <w:r>
        <w:rPr>
          <w:b/>
        </w:rPr>
        <w:t>E. 3</w:t>
      </w:r>
    </w:p>
    <w:p>
      <w:r>
        <w:t>En première instance, l'appelant a soutenu à la fois avoir agi en qualité de représentant de R.________Sàrl qu'il avait constituée et avoir agi en qualité de représentant des propriétaires de l'immeuble litigieux. Ce second moyen n'a pas été plaidé en appel.</w:t>
      </w:r>
    </w:p>
    <w:p>
      <w:r>
        <w:rPr>
          <w:b/>
        </w:rPr>
        <w:t>E. 3.1</w:t>
      </w:r>
    </w:p>
    <w:p>
      <w:r>
        <w:t>L'appelant invoque une constatation inexacte des faits en ce sens qu'il n'a pas été tenu compte du témoignage de G.________, associée de l'appelant au sein de S.________Sàrl, selon laquelle les intimés savaient que leur cocontractant était R.________Sàrl. G.________ et l'appelant sont les deux associés gérants de la société R.________Sàrl mandatée par les époux J.________ pour tenir leur comptabilité. A cet égard, la Cour de céans ne peut apprécier son témoignage qu'avec retenue en raison des liens qu'elle a avec l'appelant, en particulier si le témoignage n'est pas corroboré par d'autres éléments du dossier, comme en l'espèce. Au demeurant, si la témoin a commencé par déclarer que l'appelant s'était présenté comme le représentant de la société, elle a aussi indiqué ne pas avoir assisté aux réunions entre l'appelant et les architectes et être restée au bureau, si bien qu'elle n'a pas eu une perception directe des faits sur lesquels elle a été amenée à témoigner, contrairement à ce qu'exige l'art. 169 CPC. Pour tous ces motifs, ce témoignage doit être écarté. Le moyen est mal fondé.</w:t>
      </w:r>
    </w:p>
    <w:p>
      <w:r>
        <w:rPr>
          <w:b/>
        </w:rPr>
        <w:t>E. 3.2</w:t>
      </w:r>
    </w:p>
    <w:p>
      <w:r>
        <w:t>a) L'appelant invoque ensuite une violation du droit, en particulier de l'art. 55 CC (Code civil suisse du 10 décembre 1907; RS 210). Selon lui, contrairement à ce qui a été retenu par le premier juge, il ne s'agirait pas d'interpréter une clause contractuelle mais plutôt le comportement des parties et de déterminer si les intimés devaient se rendre compte que l'appelant agissait comme organe d'une personne morale et que celle-ci était obligée, sous réserve de la question du pouvoir de représentation. On ne pouvait pas reprocher à l'appelant de ne pas avoir réagi lorsque des documents concernant la première phase du projet lui avaient été adressés tantôt personnellement, tantôt via sa société S.________Sàrl, dès lors qu'il savait être le représentant des deux sociétés - R.________Sàrl et S.________Sàrl – et que les parties n'en étaient pas encore à des phases du projet qui les engageait vis-à-vis des autorités locales. Par la suite, l'appelant avait indiqué aux intimés que c'était R.________Sàrl et non lui personnellement qui était le mandataire des époux J.________ puis rappelé à D.________ de ne pas oublier que le promettant acquéreur était la société précitée. Les notes d'honoraires établies postérieurement avaient d'ailleurs été adressées à la société. Sur la base du comportement de l'appelant, force était d'admettre que la cocontractante des intimés était bien R.________Sàrl et non l'appelant personnellement. b) La volonté d'une personne morale s'exprime par ses organes, qui l'obli­gent par leurs actes juridiques - notamment par leurs contrats - et par tous autres faits (art. 54, 55 al. 2 et 60 CC; Riemer, Commentaire bernois, Berne 1993, n. 55 ad art. 54/55 CC, pp. 158 ss.). La qualité d'organe, au sens de l'article 55 al. 2 CC, appartient à toute personne physique qui, d'après la loi, les statuts ou l'organi­sation effective de la personne morale, prend part à l'élaboration de sa volonté et jouit en droit ou en fait du pouvoir de décision correspondant (ATF 124 III 418, c. 1b pp. 420 s.; ATF 122 III 225 c. 4b, JT 1997 I 195; ATF 117 II 570 c. 3, JT 1993 I 80; Riemer, op. cit., nn. 16 ss ad art. 54/55 CC, pp. 140 ss); elle ne dépend pas du pouvoir de repré­sentation (ATF 124 III 418 c. 1b; ATF 105 II 289 c. 5a, JT 1980 I 373; Riemer, op. cit., n. 53 ad art. 54/55 CC, p. 158). L'organe doit communiquer au tiers expressément ou par actes concluants qu'il agit pour la personne morale car les actions privées de l'organe ne sont pas imputées à la personne morale. En cas de doute, il convient d'interpréter la manifestation de volonté de l'organe selon le principe de la confiance (art. 2 al. 1 CC) afin de déterminer si le tiers pouvait et devait comprendre que l'organe agissait au nom de la personne morale, en tenant compte de l'ensemble des circonstances (Huguenin, Commentaire Bâlois, n. 18 ad art 54/55 CC, p. 415). Sont notamment pertinents la nature de l'affaire et le comportement de l'organe. Si le tiers doit se rendre compte que l'organe agit pour la personne morale, celle-ci est obligée sous réserve de la question du pouvoir de représentation. Autrement, c'est l'organe qui est lié à titre privé ou le tiers pour qui l'organe agit (Xoudis, Commentaire Romand CC I, n. 39 ad art. 54/55 CC, p. 423). c) En l'espèce, l'existence de pouvoir de représentation n'est pas contestée et ressort de l'extrait du Registre du commerce versé au dossier. La question litigieuse est celle de savoir s'il était reconnaissable, pour les intimés, que l'appelant agissait au nom de la société à responsabilité limitée R.________Sàrl, inscrite le 25 février 2009 au registre du commerce du Canton de Vaud, dont il est l'associé-gérant-président. L'appelant prétend qu'à l'occasion du premier contact entre les parties, qui s'est déroulé le 22 janvier 2009 dans les locaux de S.________Sàrl, il s'est déclaré potentiellement intéressé par la reprise de l'Auberge X.________ au nom et pour le compte de la société en formation R.________Sàrl. Ceci ne ressort toutefois pas des témoignages. Après la réunion initiale, les parties ont visité les lieux à deux reprises les 13 et 23 février 2009, un courrier a été adressé à l'appelant, en nom propre, avec une estimation des coûts d'architecte et des demandes de provision le 2 mars suivant et les intimés ont pris contact avec différents corps de métier. On lit dans un courriel des intimés du 15 avril 2010 au géomètre N.________, adressé en copie à l'appelant, que celui-ci est personnellement le maître de l'ouvrage. La demande d'acompte du 7 juin 2010 est adressée à l'appelant, même si elle mentionne " R.________Sàrl" dans son en-tête. De plus, les trois jeux de plans d'architecte qui ont été établis (datés des 25 août 2009, 13 octobre 2009 et 7 juin 2010) ont été présentés à l'appelant et comportent la mention "propriété de M. Q.________".  Alors que la société R.________Sàrl a été inscrite en février 2009, à aucun moment l'appelant n'a indiqué aux intimés qu'elle avait été valablement constituée et qu'il y avait lieu de la considérer comme promettant-acquéreur. Il n'a pas même réagi lorsque les intimés l'ont personnellement mentionné comme maître de l'ouvrage auprès de tiers. Ce n'est que le 23 juin 2010 que l'appelant a informé par courriel les intimés que R.________Sàrl agissait en qualité de mandataire des époux J.________. Puis, le 14 octobre 2010, alors que les plans étaient prêts à être signés et déposés à l'administration communale, et que le travail des intimés était terminé, il a indiqué ne pas être personnellement le promettant-acquéreur. Comme retenu par les premiers juges, le fait que les acomptes aient été réglés par la société ne suffit pas. Le paiement partiel de la dette ou d'acomptes par un tiers ne signifie pas que ce tiers soit partie à la relation contractuelle; il peut avoir procédé au versement comme simple représentant de la partie (TF 4D_111/2009 du 11 novembre 2009 c. 2.4). L'on ne pouvait non plus exiger des intimés qu'ils prêtent une attention particulière aux écritures comptables pour savoir si l'appelant agissait personnellement ou en qualité d'organe. Au demeurant, si les notes d'honoraires de l'ingénieur géomètre N.________ et de l'ingénieur H.________ ont bien été libellées au nom de la société R.________Sàrl, elles sont postérieures au courriel du 14 octobre 2010. Il appartenait à l'appelant d'avoir une attitude dénuée de toute ambiguïté concernant le fait qu'il n'agissait pas en nom propre, ce qui n'a manifestement pas été le cas. Il a créé l'apparence d'agir pour son compte, même si telle n'était pas sa réelle volonté. Dans ces circonstances, il y a lieu de reconnaître la légitimation passive de l'appelant et le moyen est mal fondé.</w:t>
      </w:r>
    </w:p>
    <w:p>
      <w:r>
        <w:rPr>
          <w:b/>
        </w:rPr>
        <w:t>E. 4</w:t>
      </w:r>
    </w:p>
    <w:p>
      <w:r>
        <w:t>En conclusion, l'appel doit être rejeté dans la procédure de l'art. 312 al. 1 CPC et le jugement confirmé. Les frais judiciaires de deuxième instance sont arrêtés à 875 fr. (art. 62 al. 1 TFJC [tarif des frais judiciaires en matière civile du 28 septembre 2010; RSV 270.11.5]) et mis à la charge de l'appelant qui succombe (art. 106 al. 1 CPC). Les intimés n'ayant pas été invités à se déterminer,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