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614 vom 1. Oktober 2012</w:t>
      </w:r>
    </w:p>
    <w:p>
      <w:r>
        <w:t>VD Tribunal cantonal, 2012-10-01, FR</w:t>
      </w:r>
    </w:p>
    <w:p>
      <w:r>
        <w:rPr>
          <w:b/>
        </w:rPr>
        <w:t xml:space="preserve">Quelle: </w:t>
      </w:r>
      <w:r>
        <w:t>https://mcp.opencaselaw.ch/entscheid/vd_findinfo_HC___2012___614</w:t>
      </w:r>
    </w:p>
    <w:p>
      <w:r>
        <w:t>FR: VD_FINDINFO HC / 2012 / 614 du 1 octobre 2012</w:t>
      </w:r>
    </w:p>
    <w:p>
      <w:r>
        <w:t>IT: VD_FINDINFO HC / 2012 / 614 del 1 ottobre 2012</w:t>
      </w:r>
    </w:p>
    <w:p>
      <w:pPr>
        <w:pStyle w:val="Heading2"/>
      </w:pPr>
      <w:r>
        <w:t>Regeste</w:t>
      </w:r>
    </w:p>
    <w:p>
      <w:r>
        <w:t>PREUVE À FUTUR, CONDITION DE RECEVABILITÉ, CONCLUSIONS, DÉCISION FINALE | 158 al. 1 CPC (CH), 158 al. 2 CPC (CH), 308 al. 1 let. a CPC (CH), 308 al. 1 let. b CPC (CH), 308 al. 2 CPC (CH), 308 CPC (CH)</w:t>
      </w:r>
    </w:p>
    <w:p>
      <w:pPr>
        <w:pStyle w:val="Heading2"/>
      </w:pPr>
      <w:r>
        <w:t>Erwägungen</w:t>
      </w:r>
    </w:p>
    <w:p>
      <w:r>
        <w:rPr>
          <w:b/>
        </w:rPr>
        <w:t>E. 1</w:t>
      </w:r>
    </w:p>
    <w:p>
      <w:r>
        <w:t>à 6 et rejetant les conclusions n os 7 à 9. En tant que cette décision rejette une partie des conclusions prises, elle constitue une décision finale dans cette mesure, de sorte que la voie de l'appel doit être ouverte au requérant qui n'a pas obtenu l'entière allocation de ses conclusions, la valeur litigieuse étant en l'occurrence largement supérieure à 10'000 fr., s'agissant d'une succession évaluée à plusieurs millions de francs. b) Au vu du renvoi de l'art. 158 al. 2 CPC aux dispositions sur les mesures provisionnelles, la procédure sommaire est applicable (art. 248 let. d CPC), de sorte que l'appel, écrit et motivé, est introduit auprès de l'instance d'appel, soit la Cour d'appel civile (art. 84 LOJV [loi vaudoise d'organisation judiciaire du 12 décembre 1979; RSV 173.01]) dans les dix jours dès la notification de la décision motivée (art. 311 al. 1 et 314 al. 1 CPC). En l'espèce, interjeté en temps utile par une partie qui y a un intérêt (art. 59 al. 2 let. a CPC), le présent appel est recevable à la forme.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 Tappy, ibid., p. 136).</w:t>
      </w:r>
    </w:p>
    <w:p>
      <w:r>
        <w:rPr>
          <w:b/>
        </w:rPr>
        <w:t>E. 3</w:t>
      </w:r>
    </w:p>
    <w:p>
      <w:r>
        <w:t>L'appelant se plaint d'une violation de son droit d'être entendu, des règles régissant l'interprétation de conclusions, de l'interdiction du formalisme excessif, et enfin des art. 158 CPC et 8 CC (Code civil suisse du 10 décembre 1907; RS 210) en ce que le premier juge lui aurait reconnu son droit à recevoir les preuves qu'il a requises mais lui aurait dénié "un accès auxdites preuves". a) S'agissant de la violation de son droit d'être entendu, le requérant fait valoir qu'au cours de l'audience du 30 mai 2012, sur interpellation de la Présidente, il a précisé sa conclusion n° 7 en ce sens que l'extraction des emails contenus dans les disques durs saisis le 23 avril 2012 devait être confiée à l'huissier du tribunal et à un expert en informatique, lesquels devaient procéder au tri des emails pour limiter la preuve à ceux concernant les dispositions pour cause de mort de feu D.R.________ sous la supervision d'un ancien Bâtonnier de l'Ordre des avocats vaudois. Il reproche ainsi au premier juge d'avoir rejeté sa conclusion n° 7 notamment parce qu'elle n'aurait pas été suffisamment précise, avec pour effet qu'elle n'aurait pas pu être retranscrite telle quelle dans un dispositif. En l'espèce, la précision que l'appelant soutient avoir apportée ne se retrouve ni dans le procès-verbal de l'audience, ni dans la décision attaquée. Cela étant, la motivation du premier juge se rapporte non pas à une omission que prétend avoir réparée l'appelant en audience, mais bien plutôt au nombre important d'interlocuteurs avec lesquels V.________ aurait échangé les emails litigieux. La décision attaquée retient en effet que la conclusion précitée ne satisfait pas, au vu du nombre d'interlocuteurs visés, de la période couverte et de son objet, à l'exigence jurisprudentielle selon laquelle une conclusion doit être formulée de telle manière qu'en cas d'admission, le jugement puisse être exécuté. Ainsi, selon le premier juge, ladite conclusion n'es pas suffisamment précise; en outre, dans l'hypothèse où elle serait  admise, elle ne pourrait être exécutée dans un délai raisonnable. La précision revendiquée par l'appelant concernant les personnes auxquelles devrait être confié le travail d'extraction ne change rien à ce qui précède. Il est dès lors inutile d'interpeller sur ce point la Présidente qui a rendu la décision, comme le voudrait l'appelant. Mal fondé, ce moyen doit être rejeté. b) Dans un second grief, l'appelant fait valoir que le rejet de sa conclusion n° 7 procèderait d'un excès de formalisme. Il invoque une violation des art. 84 al. 1 CPC et 29 al. 1 Cst. (Constitution fédérale de la Confédération suisse du 18 avril 1999; RS 101). On ne voit pas ce que l'appelant entend tirer de l'art. 84 CPC, qui traite de l'action condamnatoire au fond. On ne voit pas davantage ce qu'il entend déduire de l'art. 29 al. 1 Cst., qui garantit le droit à toute personne, dans une procédure judiciaire ou administrative, de voir sa cause traitée équitablement et jugée dans un délai raisonnable. En fait, l'appelant revient sur l'interprétation qu'il convient de donner à sa conclusion n° 7 au regard de la précision qu'il prétend lui avoir apportée en audience. D'après lui, il était évident qu'il sollicitait que la tâche d'extraction des emails destinés à prouver ses allégués soit confiée à l'huissier du tribunal et à l'informaticien désignés pour procéder à la saisie des disques durs contenant lesdits emails de V.________. Là n'est cependant pas la question. Comme on l'a vu ci- dessus, la conclusion a été rejetée au vu de son manque de précision touchant le nombre d'interlocuteurs visés, la période couverte et son objet. Cette motivation, qui se réfère à des exigences jurisprudentielles en matière d'exécution des jugements (TF 4A_611/2011 du 3 janvier 12 c. 3.2), ne procède nullement d'un excès de formalisme. Elle est au contraire fondée sur le principe de clarté et de précision des conclusions. Or, la conclusion rectifiée que l'appelant prétend avoir soumise au premier juge ne remédie nullement à cette insuffisance, puisqu'elle ne précise pas plus avant les dates des emails à extraire - si ce n'est une période de près de six ans -, l'objet même sur lequel portent ceux-ci - si ce n'est la référence générale aux "dispositions testamentaires de D.R.________"- et qu'elle indique des interlocuteurs en nombre dont certains sont indéterminés ("n'importe quel employé de l'étude K.________"). Comme le précédent, ce grief doit être rejeté. c) Dans un dernier moyen, l'appelant s'en prend à ce qu'il appelle le refus du premier juge de lui permettre l'accès aux preuves dont il avait pourtant estimé qu'il avait le droit de les obtenir. Il le qualifie d'empêchement arbitraire d'accéder aux preuves et se plaint d'une violation des art. 9 Cst. et 8 CC. Il critique la décision entreprise en ce que celle-ci se limiterait à des mesures provisionnelles (la saisie) et n'ordonnerait pas une preuve à futur, de sorte qu'elle violerait l'art. 158 CPC. Sur ce dernier point, l'appelant se contredit. Si l'on se réfère au procès-verbal de l'audience du 30 mai 2012, on y relève que, sur interpellation de la Présidente, le conseil du requérant précise que "sa requête tend à la production de pièces à titre de preuve à futur et non pas de mesures provisionnelles". C'est du reste suite à cette précision que les intimés ont requis — et obtenu avec le consentement du requérant — que la cause soit transférée de la Chambre patrimoniale cantonale au Président du Tribunal d'arrondissement. Selon l'art. 158 CPC, ce qui compte pour administrer une preuve à futur, c'est essentiellement "la mise en danger des preuves" (al. 1 let. b; sur cette notion, cf. Schweizer, CPC commenté, Bâle 2011, n. 11 ad art. 158 CPC, p. 636). C'est bien ce risque qu'invoquait le requérant dans sa requête. De ce point de vue, la saisie et la copie des emails intervenues, ainsi que leur conservation au greffe du tribunal, répondent pleinement à cette exigence de sauvegarde de la preuve (cf. HohI, Procédure civile, T. Il, nn. 1741 et 1744, pp. 318-319), sans que l'on comprenne en quoi le refus de procéder à l'extraction des données litigieuses violerait le droit de l'appelant de "prouver ses allégués" pour l'heure inexistants. Il est vrai que le requérant s'est également prévalu, dans sa requête, de son droit à l'information en tant qu'héritier. Toutefois, le premier juge ne lui a pas dénié son droit à l'information. Il a rejeté sa conclusion en extraction de données de fichiers informatiques pour des motifs procéduraux, qui n'ont rien de critiquable (cf. par analogie l'exigence de précision s'agissant de pièces volumineuses, art. 180 al. 2 CPC; Schweizer, op. cit., nn. 13-16 ad art. 180 CPC, pp. 699-700). Si la preuve à futur est éventuellement aussi susceptible de servir à l'évaluation des chances d'obtenir gain de cause ou d'apporter une preuve (cf. Message du Conseil Fédéral cité par Schweizer, op. cit., n. 14 ad art. 158 CPC, p. 636), encore faut-il que la conclusion relative à l'opération d'extraction requise réponde aux exigences de précision et de clarté susmentionnées. On peut enfin se demander si le concours d'un expert informaticien voire d'un avocat est compatible avec le but même de conservation de la preuve à futur. Quoi qu'il en soit, les droits de l'appelant dans une procédure au fond ne sont nullement mis en péril, dans la mesure où il pourra faire administrer toute preuve utile, telle qu'une expertise, pour déterminer les passages du disque dur saisi utiles à sa cause.</w:t>
      </w:r>
    </w:p>
    <w:p>
      <w:r>
        <w:rPr>
          <w:b/>
        </w:rPr>
        <w:t>E. 4</w:t>
      </w:r>
    </w:p>
    <w:p>
      <w:r>
        <w:t>Au vu de ce qui précède, l'appel doit être rejeté en application de l'art. 312 al. 1 CPC et l'ordonnance entreprise confirmée. Les frais judiciaires de deuxième instance, arrêtés à 2'000 fr. (art. 10, 62 al. 1 TFJC [tarif des frais judiciaires civils du 28 septembre 2010; RSV 270.11.5]), sont mis à la charge de l'appelant qui succombe.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