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607 vom 14. September 2012</w:t>
      </w:r>
    </w:p>
    <w:p>
      <w:r>
        <w:t>VD Tribunal cantonal, 2012-09-14, FR</w:t>
      </w:r>
    </w:p>
    <w:p>
      <w:r>
        <w:rPr>
          <w:b/>
        </w:rPr>
        <w:t xml:space="preserve">Quelle: </w:t>
      </w:r>
      <w:r>
        <w:t>https://mcp.opencaselaw.ch/entscheid/vd_findinfo_HC___2012___607</w:t>
      </w:r>
    </w:p>
    <w:p>
      <w:r>
        <w:t>FR: VD_FINDINFO HC / 2012 / 607 du 14 septembre 2012</w:t>
      </w:r>
    </w:p>
    <w:p>
      <w:r>
        <w:t>IT: VD_FINDINFO HC / 2012 / 607 del 14 settembre 2012</w:t>
      </w:r>
    </w:p>
    <w:p>
      <w:pPr>
        <w:pStyle w:val="Heading2"/>
      </w:pPr>
      <w:r>
        <w:t>Regeste</w:t>
      </w:r>
    </w:p>
    <w:p>
      <w:r>
        <w:t>PROTECTION DE L'UNION CONJUGALE, MESURE PROVISIONNELLE, REVENU HYPOTHÉTIQUE, OBLIGATION D'ENTRETIEN | 176 al. 1 ch. 1 CC, 176 al. 1 ch. 3 CC, 176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qui, capitalisées selon l'art. 92 al. 2 CPC,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3</w:t>
      </w:r>
    </w:p>
    <w:p>
      <w:r>
        <w:t>a) Dans un premier moyen, l’appelant fait valoir qu’il a déposé le 5 janvier 2012 une demande de divorce, de sorte qu’il se justifierait d’apprécier la situation à la lumière du principe du « clean break » et de prendre ainsi en compte les critères mentionnés à l’art. 125 al. 2 CC. b) A teneur de l’art. 176 al. 1 ch. 1 CC (Code civil suisse du 10 décembre 1907, RS 210), à la requête d’un des conjoints, et si la suspension de la vie commune est fondée, le juge fixe la contribution pécuniaire à verser par l’une des parties à l’autre. Il le fait en application de l'art. 163 al. 1 CC. Le montant de la contribution d'entretien se détermine en fonction des facultés économiques et des besoins respectifs des époux (ATF 121 I 97 c. 3b ; ATF 118 II 376 c. 20b).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Lorsqu’on ne peut plus sérieusement compter sur une reprise de la vie commune, le but de rendre les époux financièrement indépendants gagne en importance et il faut dès lors se référer aux critères applicables à l’entretien après le divorce (TF 5A_710/2009 du 22 février 2010 c. 4.1 et les réf citées ; TF 5A_205/2010 c. 4.2.3, publié in FamPra.ch 2010, p. 894). Cela ne signifie cependant pas que l’art. 163 CC, selon lequel mari et femme contribuent, chacun selon ses facultés, à l’entretien convenable de la famille, ne serait plus applicable lorsque l’un des conjoints n’est pas susceptible d’obtenir une contribution après divorce. Cette disposition demeure en effet la cause de l’obligation d’entretien des époux dans le cadre de mesures protectrices de l’union conjugale et de mesures provisionnelles dans la procédure de divorce. Mais comme son but impose à chacun des époux le devoir de participer, selon ses facultés, aux frais supplémentaires qu’engendre la vie séparée, il se peut que le juge doive modifier la convention conclue pour la vie commune, pour l’adapter à des faits nouveaux. C’est dans ce sens restreint que le juge doit prendre en considération, dans le cadre de l’art. 163 CC, les critères applicables à l’entretien après le divorce (art. 125 CC ; ATF 137 III 385 c. 3.1 ; TF 5A_301/2011 du 1 er décembre 2011 c. 5.1 ; TF 5A_475/2011 du 12 décembre 2011 c. 4.1). En effet, le juge des mesures protectrices de l’union conjugale et des mesures provisionnelles ne doit pas trancher, même sous l’angle de la vraisemblance, les questions de fond, objet du procès en divorce, en particulier celle de savoir si le mariage a influencé concrètement la situation financière du conjoint (TF 5A_475/2011 du 12 décembre 2011 c. 4.1 ; ATF 137 III 385 c. 3.1). c) En l’espèce, l’appelant a déposé le 5 janvier 2012 une demande de divorce, de sorte que la vie séparée est désormais régie par des mesures provisionnelles plutôt que par des mesures protectrices de l’union conjugale. Cela étant, l’art. 163 CC demeure fondamentalement la cause de l’obligation d’entretien, même si l'on ne peut plus compter sérieusement sur la reprise de la vie commune. Au demeurant, il n’y a pas lieu en l’espèce d’adapter le niveau de vie des conjoints aux conditions de leur séparation, auquel cas les critères de l’art. 125 CC pourraient être pris en considération, mais uniquement de contribuer à l’établissement du minimum vital de l’épouse. Il en découle que le moyen est mal fondé et qu’il doit être rejeté.</w:t>
      </w:r>
    </w:p>
    <w:p>
      <w:r>
        <w:rPr>
          <w:b/>
        </w:rPr>
        <w:t>E. 4</w:t>
      </w:r>
    </w:p>
    <w:p>
      <w:r>
        <w:t>a) Dans un deuxième moyen, l’appelant fait valoir qu’il avait certes indiqué au président, dans la précédente procédure, qu’il réaliserait un revenu mensuel net de l’ordre de 3'000 fr. dans sa nouvelle activité au sein de la société [...] qu’il avait créée, mais qu’en réalité, il a perçu un revenu significativement inférieur en raison des difficultés que rencontre cette société sur le plan financier. Cette baisse de revenu serait en outre non pas temporaire, mais durable. b) aa)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(TF 5A_720/2011 du</w:t>
      </w:r>
    </w:p>
    <w:p>
      <w:r>
        <w:rPr>
          <w:b/>
        </w:rPr>
        <w:t>E. 8</w:t>
      </w:r>
    </w:p>
    <w:p>
      <w:r>
        <w:t>mars 2012 c. 6.1 et les réf. citées ; ATF 137 III 118 c. 2.3 et les réf. citées ; TF 5A_99/2011 du 26 septembre 2011 c. 7.4.1, non publié aux ATF 137 III 604, mais in FamPra.ch 2012, p. 228).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 ATF 127 III 136 c. 2a in fine). Dans chaque cas concret, il s’agit d’examiner si et dans quelle mesure on peut exiger d’un époux qu’il prenne une activité lucrative, ou augmente celle qu’il exerce déjà, compte tenu de son âge, de son état de santé, de sa formation et, le cas échéant, du temps plus ou moins long durant lequel il a été éloigné de la vie professionnelle (ATF 114 II 13 c. 5 ; ATF 114 lI 301 c. 3a). La jurisprudence considère néanmoins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ou auquel il a renoncé, ce avec effet rétroactif au jour de la diminution ou du renoncement (TF 5A_720/2011 précité c. 6.1 ; TF 5A_317/2011 du 22 novembre 2011 c. 6.2, non publié aux ATF 137 III 614 ; TF 5A_612/2011 du 27 février 2012 c. 2.1 ; TF 5A_341/2011 du 20 septembre 2011 c. 2.5.1). bb)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5A_720/2011 du 8 mars 2012 c. 4.1.2 et les réf. citées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5A_720/2011 du 8 mars 2012 c. 4.1.2 et les réf. citées). Une modification peut également être demandée si la décision de mesures provisoires s'est révélée par la suite injustifiée parce que le juge appelé à statuer n'a pas eu connaissance de faits importants (ATF 129 III 60 c. 2 ; TF 5A_720/2011 du 8 mars 2012 c. 4.1.2 et les réf. citées ;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c) En l’espèce, on peut donner acte à l’appelant que sa société connaît des difficultés financières et qu’il perçoit en réalité un salaire inférieur à 3'000 francs. Cela étant, l’appelant s’entête dans une activité extrêmement peu rémunératrice, alors qu’il est manifestement en mesure, au vu notamment de son état de santé et de sa formation, de réaliser les 3'000 fr. qu’il espérait en s’engageant comme salarié. Un tel revenu peut dès lors à tout le moins lui être imputé. Au demeurant, comme l’a relevé le président dans son prononcé du 15 février 2011, l’appelant a choisi de développer au début de l’année 2011 un projet personnel qui ne lui rapporterait qu’un faible revenu mensuel, renonçant ainsi à des indemnités de chômage d’environ 7’200 fr. par mois. Il a ainsi volontairement renoncé à une importante source de revenus, alors qu’il savait qu’il devait assumer des obligations d’entretien. Dans ces circonstances, l’appelant ne saurait se prévaloir du fait que ses revenus effectifs n’atteignent pas même le montant retenu dans le prononcé du 15 février 2011 pour exiger la suppression de la pension mise à sa charge, l’appréciation à laquelle s’est livré le président dans ce prononcé gardant toute sa pertinence. Pour le surplus, il y a lieu de constater que, depuis que le prononcé du 15 février 2011 a été rendu, le minimum vital de l’intimée n’a pas évolué de manière significative et que les charges de l’appelant n’ont que légèrement diminué. Aussi, les conditions justifiant la modification des mesures protectrices de l’union conjugale prononcées le 15 février 2011 ne sont pas remplies. Mal fondé, le moyen de l’appelant doit être rejeté. 5. a) Dans un troisième moyen, l’appelant soutient que la présidente aurait rejeté sans la moindre motivation sa conclusion VI, prise lors de l’audience du 2 mai 2012, qui tendait à ce que l’intimée soit astreinte à contribuer à l’entretien de son fils Z.________, à compter du 1 er avril 2012, par le régulier versement d’une pension mensuelle de 600 fr., allocations familiales en sus. b) Ce moyen est mal fondé. En effet, le coût d’entretien de l’enfant Z.________ a été compté dans le minimum vital de l’appelant tant dans le prononcé du 15 février 2011 que dans l’ordonnance attaquée. Tout en prenant en compte ce coût, la présidente est arrivée à la conclusion qu’une pension devait être servie à l’intimée. Au surplus, on relèvera qu’avec la pension qui lui est servie, l’intimée couvre tout juste son minimum vital, de sorte qu’elle ne saurait être astreinte à contribuer à l’entretien de cet enfant. 6. En conclusion, l’appel doit être rejeté, en application de l’art. 312 al. 1 CPC, et l’ordonnance confirmée. Les frais judiciaires de deuxième instance, arrêtés à 600 fr. (art. 65 al. 2 TFJC [Tarif des frais judiciaires civils du 28 septembre 2010, RSV 270.11.5]), sont mis à la charge de l’appelant qui succombe (art. 106 al. 1 CPC). Il n’y a pas matière à l’allocation de dépens de deuxième instance, l’intimée n’ayant pas été invitée à se déterminer sur l’appel.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A.B.________. IV. L’arrêt motivé est exécutoire. Le juge délégué : Le greffier : Du 19 septembre 2012 Le dispositif de l'arrêt qui précède est communiqué par écrit aux intéressés. Le greffier : Du L'arrêt qui précède, dont la rédaction a été approuvée à huis clos, est notifié en expédition complète, par l'envoi de photocopies, à : ‑ Me Marc Cheseaux (pour A.B.________) ‑ Me Sandrine Chiavazza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