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603 vom 24. September 2012</w:t>
      </w:r>
    </w:p>
    <w:p>
      <w:r>
        <w:t>VD Tribunal cantonal, 2012-09-24, FR</w:t>
      </w:r>
    </w:p>
    <w:p>
      <w:r>
        <w:rPr>
          <w:b/>
        </w:rPr>
        <w:t xml:space="preserve">Quelle: </w:t>
      </w:r>
      <w:r>
        <w:t>https://mcp.opencaselaw.ch/entscheid/vd_findinfo_HC___2012___603</w:t>
      </w:r>
    </w:p>
    <w:p>
      <w:r>
        <w:t>FR: VD_FINDINFO HC / 2012 / 603 du 24 septembre 2012</w:t>
      </w:r>
    </w:p>
    <w:p>
      <w:r>
        <w:t>IT: VD_FINDINFO HC / 2012 / 603 del 24 settembre 2012</w:t>
      </w:r>
    </w:p>
    <w:p>
      <w:pPr>
        <w:pStyle w:val="Heading2"/>
      </w:pPr>
      <w:r>
        <w:t>Regeste</w:t>
      </w:r>
    </w:p>
    <w:p>
      <w:r>
        <w:t>ENTREPRENEUR EN RAISON INDIVIDUELLE, REGISTRE DU COMMERCE, DOMICILE, RADIATION{EFFACEMENT}, SOMMATION, PUBLICATION{EN GÉNÉRAL}, FEUILLE OFFICIELLE SUISSE DU COMMERCE | 937 CO, 85 LOJV, 7 LRC, 8 LRC, 153a ORC, 153b al. 1 let. a ORC, 26 ORC, 27 ORC, 30 ORC, 38 ORC, 18 al. 3 let. a ROTC, 98 LPA-VD</w:t>
      </w:r>
    </w:p>
    <w:p>
      <w:pPr>
        <w:pStyle w:val="Heading2"/>
      </w:pPr>
      <w:r>
        <w:t>Erwägungen</w:t>
      </w:r>
    </w:p>
    <w:p>
      <w:r>
        <w:rPr>
          <w:b/>
        </w:rPr>
        <w:t>E. 1</w:t>
      </w:r>
    </w:p>
    <w:p>
      <w:r>
        <w:t>Aux termes de l'art. 8 LRC (loi du 15 juin 1999 sur le registre du commerce; RSV 221.41), il y a recours à l'autorité de surveillance contre toute décision du préposé, conformément à l'art. 3 ORC. Selon l'art. 18 al.</w:t>
      </w:r>
    </w:p>
    <w:p>
      <w:r>
        <w:rPr>
          <w:b/>
        </w:rPr>
        <w:t>E. 3</w:t>
      </w:r>
    </w:p>
    <w:p>
      <w:r>
        <w:t>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publication à la Feuille officielle suisse du commerce (ATF 120 Il 137 c. 3a; ATF 108 II 122 c. 5; ATF 104 lb 321 c. 2a, JT 1979 I 627).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 101). L'art. 26 ORC prévoit expressément le principe de véracité des inscriptions : toutes les inscriptions au registre du commerce doivent être conformes à la vérité et ne rien contenir qui soit de nature à induire en erreur ou contraire à un intérêt public. La loi et l'ordonnance déterminent le contenu de l'inscription au registre du commerce; les faits dont l'inscription n'est pas prévue ne peuvent être inscrits que si l'intérêt public justifie de les rendre opposables (art. 30 ORC). Ainsi, selon l'art. 38 ORC, l'inscription au registre du commerce d'une entreprise individuelle mentionne : sa raison de commerce et son numéro d'identification des entreprises (let. a); son siège et son domicile (let. b); sa forme juridique (let. c); son but (let. d); son titulaire (let. e); les personnes habilitées à la représenter (let. f). Par ailleurs, toute modification de faits inscrits sur le registre du commerce doit également être inscrite (art. 937 CO [Code des obligations du 30 mars 1911; RS 220] et art. 27 ORC), règle qui est imposée par le principe de la véracité du registre du commerce mentionné ci-dessus.</w:t>
      </w:r>
    </w:p>
    <w:p>
      <w:r>
        <w:rPr>
          <w:b/>
        </w:rPr>
        <w:t>E. 4</w:t>
      </w:r>
    </w:p>
    <w:p>
      <w:r>
        <w:t>Il n'est pas contesté que l'inscription au registre du commerce de l'entreprise individuelle B.________ ne mentionne pas de domicile légal à son siège à St-Cergue. La procédure relative à l'absence de domicile d'une entité juridique est réglée par les art. 153a et 153b ORC. L'art. 153a ORC prévoit ainsi que l'office du registre du commerce " somme l'organe supérieur de direction ou d'administration de l'entité juridique de lui faire parvenir la réquisition d'inscription d'un nouveau domicile à son siège (…) dans les trente jours " (al. 1), la sommation étant notifiée par lettre recommandée (al. 2); " lorsqu'aucune réquisition (…) ne lui est parvenue dans le délai imparti, l'office du registre du commerce publie la sommation dans la Feuille officielle suisse du commerce " (al. 3). Selon l'art. 153b al. 1 let. a ORC, disposition sur laquelle le préposé au registre du commerce a fondé sa décision de radier l'entreprise individuelle, " lorsque l'entité juridique n'obtempère pas à la sommation publiée dans la Feuille officielle suisse du commerce dans le délai imparti, l'office du registre du commerce rend une décision portant sur (…) la radiation s'il s'agit d'une entreprise individuelle ou d'une succursale ". En l'espèce, le préposé a adressé une demande de régularisation à B.________ par courrier simple le 11 novembre 2011, puis un rappel le 23 janvier 2012, également par courrier simple. Il a ensuite adressé à l'intéressé des sommations par lettres recommandées des 23 février et 16 mars 2012, lesquelles n'ont pas été retirées. En l'absence de réaction du destinataire de la sommation, le préposé a finalement rendu la décision entreprise le 3 juillet 2012. Or, il n'apparaît pas que la sommation ait préalablement été publiée dans la Feuille officielle suisse du commerce, comme le prévoient expressément les art. 153a et 153b ORC susmentionnés. Cela étant, à défaut d'avoir procédé à une telle publication, le préposé ne pouvait pas prononcer la radiation de l'entreprise individuelle.</w:t>
      </w:r>
    </w:p>
    <w:p>
      <w:r>
        <w:rPr>
          <w:b/>
        </w:rPr>
        <w:t>E. 5</w:t>
      </w:r>
    </w:p>
    <w:p>
      <w:r>
        <w:t>Au vu de ce qui précède, le recours doit être admis et la décision entreprise annulée, la cause étant renvoyée au préposé au registre du commerce pour qu'il procède conformément aux prescriptions des art. 153a et 153b ORC. Il n'est pas perçu de frais judiciaires de deuxième instance. Par ces motifs, la Chambre des recours civile du Tribunal cantonal, statuant à huis clos, prononce : I. Le recours est admis. II. La décision est annulée, la cause étant renvoyée au Préposé au Registre du commerce pour qu'il procède au sens des considérants. III. Il n'est pas perçu de frais judiciaires de deuxième instance. IV. L'arrêt est exécutoire. Le président :               Le greffier : Du L'arrêt qui précède, dont la rédaction a été approuvée à huis clos, est notifié à : ‑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