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596 vom 24. September 2012</w:t>
      </w:r>
    </w:p>
    <w:p>
      <w:r>
        <w:t>VD Tribunal cantonal, 2012-09-24, FR</w:t>
      </w:r>
    </w:p>
    <w:p>
      <w:r>
        <w:rPr>
          <w:b/>
        </w:rPr>
        <w:t xml:space="preserve">Quelle: </w:t>
      </w:r>
      <w:r>
        <w:t>https://mcp.opencaselaw.ch/entscheid/vd_findinfo_HC___2012___596</w:t>
      </w:r>
    </w:p>
    <w:p>
      <w:r>
        <w:t>FR: VD_FINDINFO HC / 2012 / 596 du 24 septembre 2012</w:t>
      </w:r>
    </w:p>
    <w:p>
      <w:r>
        <w:t>IT: VD_FINDINFO HC / 2012 / 596 del 24 settembre 2012</w:t>
      </w:r>
    </w:p>
    <w:p>
      <w:pPr>
        <w:pStyle w:val="Heading2"/>
      </w:pPr>
      <w:r>
        <w:t>Regeste</w:t>
      </w:r>
    </w:p>
    <w:p>
      <w:r>
        <w:t>ADMINISTRATION DES PREUVES, DÉCISION, DOMMAGE IRRÉPARABLE | 319 let. b ch. 2 CPC (CH), 322 al. 1 CPC (CH)</w:t>
      </w:r>
    </w:p>
    <w:p>
      <w:pPr>
        <w:pStyle w:val="Heading2"/>
      </w:pPr>
      <w:r>
        <w:t>Erwägungen</w:t>
      </w:r>
    </w:p>
    <w:p>
      <w:r>
        <w:rPr>
          <w:b/>
        </w:rPr>
        <w:t>E. 1.1</w:t>
      </w:r>
    </w:p>
    <w:p>
      <w:r>
        <w:t>La décision attaquée a été rendue le 10 juillet 2012, de sorte que les voies de droit sont régies par le CPC (Code de procédure civile du 19 décembre 2008; RS 272), entré en vigueur le 1 er janvier 2011 (art. 405 al. 1 CPC; ATF 137 III 127; ATF 137 III 130; Tappy, in CPC commenté, Bâle 2011, nn. 5 ss ad art. 405 CPC).</w:t>
      </w:r>
    </w:p>
    <w:p>
      <w:r>
        <w:rPr>
          <w:b/>
        </w:rPr>
        <w:t>E. 1.2</w:t>
      </w:r>
    </w:p>
    <w:p>
      <w:r>
        <w:t>Le recours, écrit et motivé, s'exerce dans un délai de trente jours à compter de la notification de la décision motivée ou de la notification postérieure de la motivation; il est de dix jours pour les décisions prises en procédure sommaire et les ordonnances d'instruction (art. 321 al. 1 et 2 CPC [Code de procédure civile du 19 décembre 2008; RS 272]). En l'espèce, formé en temps utile, soit dans un délai de dix jours, auprès de l'autorité compétente (art. 73 al. 1 LOJV [loi d'organisation judiciaire du 12 décembre 1979; RSV 173.01]), par une partie qui y a intérêt (art. 59 al. 2 let. a CPC), le recours de H.________ est formellement recevable. 1.3.1 Le recours a été interjeté contre une ordonnance de preuves. Il s'agit du recours prévu par l'art. 319 ch. 1 let. b CPC, qui prévoit que le recours est recevable  contre les autres décisions et ordonnances d'instruction de première instance dans les cas prévus par la loi (let. b ch. 1) ou lorsqu'elles peuvent causer un préjudice difficilement réparable (let. b ch. 2). 1.3.2 Selon la jurisprudence de la cour de céans, la notion de préjudice difficilement réparable est plus large que celle de dommage irréparable de l'art. 93 al. 1 let. a LTF (Loi du 17 juin 2005 sur le Tribunal fédéral; RS 173.110), puisqu'elle devrait viser également les désavantages de fait (JT 2011 III 86 c. 3 et références; CREC 20 avril 2012/148). La doctrine a précisé que cette notion ne vise pas uniquement un inconvénient de nature juridique, mais toute incidence dommageable (y compris financière ou temporelle) pourvu qu'elle soit difficilement réparable, la notion devant être toutefois interprétée de manière exigeante voire restrictive, sous peine d'ouvrir le recours à toute décision ou ordonnance d'instruction, ce que le législateur a clairement exclu (Jeandin, CPC Commenté, 2011, n. 22 ad art. 319 CPC, p. 1274 et références; CREC 22 mars 2012/117). En outre, un préjudice irréparable de nature juridique ne doit pas pouvoir être ultérieurement réparé ou entièrement réparé par une décision finale favorable au recourant (ATF 134 III 188 c. 2.1 et c. 2.2). Contrairement aux cas où le recours est expressément prévu par la loi, notamment à l'art. 110 CPC, qui instaure un recours séparé en matière de frais, le Code de procédure civile ne prévoit pas une telle voie contre l'ordonnance de preuves (art. 154 CPC), qui constitue une ordonnance d'instruction (Jeandin, op. cit., n. 14 ad art. 319, p. 1272). La recevabilité du recours contre un tel acte est donc subordonnée à l'existence d'un préjudice difficilement réparable au regard de l'art. 319 let. b ch. 2 CPC (JT 2011 III 86 c. 3).</w:t>
      </w:r>
    </w:p>
    <w:p>
      <w:r>
        <w:rPr>
          <w:b/>
        </w:rPr>
        <w:t>E. 1.4</w:t>
      </w:r>
    </w:p>
    <w:p>
      <w:r>
        <w:t>Aux termes de l'art. 154 CPC, l'ordonnance de preuves, rendue avant l'administration des preuves, désigne en particulier les moyens de preuve admis et détermine pour chaque fait à quelle partie incombe la preuve ou la contre-preuve. L'ordonnance de preuves peut en outre être modifiée ou complétée en tout temps, savoir aussi longtemps qu'il n'a pas été jugé (Schweizer, CPC commenté, Bâle 2011, n. 12 ad art. 154 CPC, p. 623).</w:t>
      </w:r>
    </w:p>
    <w:p>
      <w:r>
        <w:rPr>
          <w:b/>
        </w:rPr>
        <w:t>E. 2.1</w:t>
      </w:r>
    </w:p>
    <w:p>
      <w:r>
        <w:t>Le recours est recevable pour violation du droit (art. 320 let. a CPC) ou pour constatation manifestement inexacte des faits (art. 320 let. b CPC). L'autorité de recours dispose d'un plein pouvoir d'examen s'agissant de la violation du droit (Spühler, ZPO Basler Kommentar, Bâle 2010, n. 12 ad art. 319 CPC, p. 1504).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contestation inexacte des faits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w:t>
      </w:r>
    </w:p>
    <w:p>
      <w:r>
        <w:rPr>
          <w:b/>
        </w:rPr>
        <w:t>E. 2.2</w:t>
      </w:r>
    </w:p>
    <w:p>
      <w:r>
        <w:t>Les preuves nouvelles étant prohibées en procédure de recours (art. 326 al. 1 CPC), les pièces 5, 6 et</w:t>
      </w:r>
    </w:p>
    <w:p>
      <w:r>
        <w:rPr>
          <w:b/>
        </w:rPr>
        <w:t>E. 7</w:t>
      </w:r>
    </w:p>
    <w:p>
      <w:r>
        <w:t>produites par le recourant, de même que la pièce produite en annexe au courrier du 21 septembre 2012, sont irrecevables. Les autres pièces, à l'exception de la pièce 1 (ordonnance entreprise) et 8 (procuration en faveur du conseil du recourant) figuraient au dossier de première instance. 3. Le recourant reproche au premier juge d'avoir ordonné la production des pièces requises dans le bordereau du 3 mai 2012 de D.________, quand bien même l'ordonnance de preuves constatait la production anticipée des pièces requises 51 à 55. Il rappelle que le bordereau en cause avait été émis dans le cadre d'une requête de mesures provisionnelles et souligne le caractère disproportionné et inconvenant des réquisitions en cause, lesquelles concernent pas moins de septante établissements bancaires, instituts financiers suisses ou étrangers potentiellement concernés ainsi que des instituts émetteurs de cartes de crédit suisses, non seulement en Suisse, mais encore au Canada, aux Etats-Unis, en Chine, en Allemagne, en Angleterre, etc., et n'ont pour autres propos que de donner à une affaire de simple divorce les proportions d'un contentieux international et de prolonger le service de la pension provisionnelle. L'ordonnance de preuves étant susceptible d'être modifiée en tout temps, il convient d'examiner le risque de préjudice irréparable en l'état de la procédure. En premier lieu, il appartiendra aux établissements bancaires concernés de répondre aux demandes d'informations. Si, comme le prétend le recourant, il n'a aucun lien avec ces établissements, les réquisitions de production de pièces seront rapidement traitées. Du point de vue de la multiplicité des mesures d'instruction, le risque d'allongement excessif de la procédure n'est donc pas encore concret. Ensuite, contrairement à ce que soutient le recourant, le litige n'a pas encore pris un caractère international. Aucune commission rogatoire n'a été décernée pour les banques dont le siège est à l'étranger et l'ordonnance attaquée n'en mentionne aucune. Là également, le risque de préjudice irréparable n'est pas encore suffisamment caractérisé. Cette appréciation pourra le cas échéant être revue en fonction des décisions prises par le premier juge au sujet de l'admissibilité des preuves et de l'écoulement du temps. Faute d'un préjudice difficilement réparable en l'état, le recours doit dès lors être déclaré irrecevable. 4. En conclusion, le recours doit être déclaré irrecevable au regard de l'art. art. 322 al. 1 CPC et l'ordonnance attaquée confirmée. L'arrêt peut être rendu sans frais (art. 10 TFJC [tarif des frais judiciaires civils du 28 septembre 2010; RSV 270.11.5]). L'intimée n'ayant pas été invitée à se déterminer, elle n'a pas droit à des dépens. Par ces motifs, la Chambre des recours civile du Tribunal cantonal, statuant à huis clos, en application de l'art. 322 al. 1 CPC, prononce : I. Le recours est irrecevable. II. L'ordonnance est confirmée. III. L'arrêt, rendu sans frais, est exécutoire. Le président :               Le greffier : Du L'arrêt qui précède, dont la rédaction a été approuvée à huis clos, est notifié en expédition complète, par l'envoi de photocopies, à : ‑ Me Paul Marville (pour H.________), ‑ Me Antoine Eigenmann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