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589 vom 20. September 2012</w:t>
      </w:r>
    </w:p>
    <w:p>
      <w:r>
        <w:t>VD Tribunal cantonal, 2012-09-20, FR</w:t>
      </w:r>
    </w:p>
    <w:p>
      <w:r>
        <w:rPr>
          <w:b/>
        </w:rPr>
        <w:t xml:space="preserve">Quelle: </w:t>
      </w:r>
      <w:r>
        <w:t>https://mcp.opencaselaw.ch/entscheid/vd_findinfo_HC___2012___589</w:t>
      </w:r>
    </w:p>
    <w:p>
      <w:r>
        <w:t>FR: VD_FINDINFO HC / 2012 / 589 du 20 septembre 2012</w:t>
      </w:r>
    </w:p>
    <w:p>
      <w:r>
        <w:t>IT: VD_FINDINFO HC / 2012 / 589 del 20 settembre 2012</w:t>
      </w:r>
    </w:p>
    <w:p>
      <w:pPr>
        <w:pStyle w:val="Heading2"/>
      </w:pPr>
      <w:r>
        <w:t>Regeste</w:t>
      </w:r>
    </w:p>
    <w:p>
      <w:r>
        <w:t>LEASING | 312 CPC, 322 CPC</w:t>
      </w:r>
    </w:p>
    <w:p>
      <w:pPr>
        <w:pStyle w:val="Heading2"/>
      </w:pPr>
      <w:r>
        <w:t>Erwägungen</w:t>
      </w:r>
    </w:p>
    <w:p>
      <w:r>
        <w:rPr>
          <w:b/>
        </w:rPr>
        <w:t>E. 1.1</w:t>
      </w:r>
    </w:p>
    <w:p>
      <w:r>
        <w:t>Le dispositif et la motivation de la décision attaquée ont été envoyés aux parties respectivement les 3 avril et 12 juin 2012, de sorte que les voies de droit sont régies par le CPC (Code de procédure civile du 19 décembre 2010; RS 272), entré en vigueur le 1 er janvier 2011 (art. 405 al. 1 CPC).</w:t>
      </w:r>
    </w:p>
    <w:p>
      <w:r>
        <w:rPr>
          <w:b/>
        </w:rPr>
        <w:t>E. 1.2</w:t>
      </w:r>
    </w:p>
    <w:p>
      <w:r>
        <w:t>La décision attaquée mettant fin au procès (art. 236 al. 1 CPC), dans une affaire dont la valeur litigieuse est inférieure à 10'000 fr., est sujette au recours de l'art. 319 let. a CPC. La procédure devant le juge de paix étant orale (art. 212 al. 2 CPC), elle n'est pas sommaire au sens des art. 248 ss CPC, de sorte que le délai de recours n'est pas de dix jours (art. 321 al. 2 a contrario), mais de trente jours (art. 321 al. 1 CPC). En l'espèce, déposé le 9 juillet 2012 après une notification du 12 juin 2012,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En demandant la levée de l'opposition faite par l'intimée au commandement de payer, la recourante soutient implicitement que l'intimée lui doit les montants qu'elle lui réclame. Le premier juge a considéré que l'existence de la créance, qui correspond aux frais de remise en état du véhicule objet du contrat de leasing, n'a pas été établie à satisfaction. Le rapport d'expertise produit a été écarté, au motif qu'il était tardif. Le premier juge a par surabondance relevé que le titre en question ne permettait par de démontrer la responsabilité de la défenderesse dans l'établissement du dommage causé au véhicule objet du leasing. A l'appui de son recours, la recourante ne soutient pas que la production du rapport d'expertise écarté ne l'aurait pas été de manière tardive – ce qui est du reste bien le cas, puisqu'il a été produit postérieurement à l'audience du 29 mars 2012 (art. 229 CPC applicable en l'espèce par renvoi de l'art. 219 CPC). Elle ne dénonce pas non plus une éventuelle violation de l'art. 8 CC (Code civil suisse du 10 décembre 1907; RS 210), qui répartit le fardeau de la preuve et détermine laquelle des parties doit assumer les conséquences de l'échec de la preuve (ATF 127 III 519 c. 2a; 126 III 189 c. 2b, 315 c. 4a). Sur cette base et dès lors que toute preuve nouvelle est irrecevable en procédure de recours (art. 326 al. 1 CPC), il en découle que le moyen de la recourante est mal fondé et qu'il doit être rejeté.</w:t>
      </w:r>
    </w:p>
    <w:p>
      <w:r>
        <w:rPr>
          <w:b/>
        </w:rPr>
        <w:t>E. 4</w:t>
      </w:r>
    </w:p>
    <w:p>
      <w:r>
        <w:t>En conclusion, le recours doit être rejeté en application de l'art. 322 al. 1 CPC et la décision querellée confirmée. Les frais judiciaires de deuxième instance, arrêtés à 200 fr. (art. 69 al. 1 TFJC [tarif des frais judiciaires civils du 28 septembre 2012; RSV 270.11.5), sont mis à la charge de la recourante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Z.________. IV. L'arrêt motivé est exécutoire. Le président :               Le greffier : Du 20 septembre 2012 Le dispositif de l'arrêt qui précède est communiqué par écrit aux intéressés. Le greffier : Du L'arrêt qui précède, dont la rédaction a été approuvée à huis clos, est notifié en expédition complète, par l'envoi de photocopies, à : - Z.________ - Mme E.________. La Chambre des recours civile considère que la valeur litigieuse est de 3'297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