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583 vom 3. Juli 2012</w:t>
      </w:r>
    </w:p>
    <w:p>
      <w:r>
        <w:t>VD Tribunal cantonal, 2012-07-03, FR</w:t>
      </w:r>
    </w:p>
    <w:p>
      <w:r>
        <w:rPr>
          <w:b/>
        </w:rPr>
        <w:t xml:space="preserve">Quelle: </w:t>
      </w:r>
      <w:r>
        <w:t>https://mcp.opencaselaw.ch/entscheid/vd_findinfo_HC___2012___583</w:t>
      </w:r>
    </w:p>
    <w:p>
      <w:r>
        <w:t>FR: VD_FINDINFO HC / 2012 / 583 du 3 juillet 2012</w:t>
      </w:r>
    </w:p>
    <w:p>
      <w:r>
        <w:t>IT: VD_FINDINFO HC / 2012 / 583 del 3 luglio 2012</w:t>
      </w:r>
    </w:p>
    <w:p>
      <w:pPr>
        <w:pStyle w:val="Heading2"/>
      </w:pPr>
      <w:r>
        <w:t>Regeste</w:t>
      </w:r>
    </w:p>
    <w:p>
      <w:r>
        <w:t>EXÉCUTION FORCÉE, FRAIS JUDICIAIRES, EXPULSION DE LOCATAIRE | 106 al. 1 CPC (CH)</w:t>
      </w:r>
    </w:p>
    <w:p>
      <w:pPr>
        <w:pStyle w:val="Heading2"/>
      </w:pPr>
      <w:r>
        <w:t>Erwägungen</w:t>
      </w:r>
    </w:p>
    <w:p>
      <w:r>
        <w:rPr>
          <w:b/>
        </w:rPr>
        <w:t>E. 1</w:t>
      </w:r>
    </w:p>
    <w:p>
      <w:r>
        <w:t>a) L'art. 110 CPC (Code de procédure civile du 19 décembre 2010; RS 272) ouvre la voie du recours de l'art. 319 let. b ch. 1 CPC contre les décisions sur les frais, à savoir les frais judiciaires et les dépens (cf. art. 95 CPC). Interjeté en temps utile (art. 321 al. 2 CPC) par une partie qui y a intérêt (art. 59 al. 2 let. a CPC), le présent recours est recevable.</w:t>
      </w:r>
    </w:p>
    <w:p>
      <w:r>
        <w:rPr>
          <w:b/>
        </w:rPr>
        <w:t>E. 2</w:t>
      </w:r>
    </w:p>
    <w:p>
      <w:r>
        <w:t>Y.________ fait valoir en substance que les frais de procédure doivent être mis exclusivement à la charge de J.________, son ex-épouse, dès lors que selon le jugement de divorce du 21 février 2012 (dont il produit une copie partielle), il a été convenu que J.________ était reconnue seule débitrice de la dette due à O.________ et qu'elle s'engageait à rembourser à Y.________ toute somme qu'il serait amené à payer dans le cadre du remboursement de cette dette. La copie partielle du jugement de divorce produite par le recourant est irrecevable (art. 326 CPC). Serait-elle recevable que cela ne changerait rien à l'affaire. En effet, les rapports internes entre le recourant et son ex-épouse ne déploient aucun effet vis-à-vis des tiers, en l'occurrence envers l'intimée O.________, bailleresse. Le recourant ne prétend pas qu'il n'était pas formellement locataire de [...] à Crissier. On observe d'ailleurs que la procédure d'expulsion a été dirigée contre lui et contre son ex-épouse. En tant que colocataire, il est le débiteur solidaire de la bailleresse, si bien que le prononcé qui met les frais judiciaires à charge des deux parties intimées ne peut qu'être confirmé. Il appartiendra au recourant de régler compte avec son ex-épouse en se réclamant de la convention sur intérêts civils du divorce.</w:t>
      </w:r>
    </w:p>
    <w:p>
      <w:r>
        <w:rPr>
          <w:b/>
        </w:rPr>
        <w:t>E. 3</w:t>
      </w:r>
    </w:p>
    <w:p>
      <w:r>
        <w:t>Il s'ensuit que le recours doit être rejeté dans la procédure de l'art. 322 al. 1 CPC et le prononcé attaqué confirmé. Les frais judiciaires de deuxième instance sont arrêtés à 100 fr. (art. 69 al. 1 TFJC [tarif des frais judiciaires civils du 28 septembre 2010; RSV 270.11.5]) et mis à la charge du recourant, qui succombe (art. 106 al. 1 CPC). N'ayant pas été invitée à se déterminer, l'intimée n’a pas droit à des dépens. Par ces motifs, la Chambre des recours civile du Tribunal cantonal, statuant à huis clos, en application de l'art. 322 al. 1 CPC, prononce : I. Le recours est rejeté. II. Le prononcé est confirmé. III. les frais judiciaires de deuxième instance, arrêtés à 100 fr. (cent francs), sont mis à la charge du recourant Y.________. IV. L'arrêt motivé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Y.________ ‑ Mikaël Ferreiro, aab (pour O.________) La Chambre des recours civile considère que la valeur litigieuse est de 888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