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582 vom 15. August 2012</w:t>
      </w:r>
    </w:p>
    <w:p>
      <w:r>
        <w:t>VD Tribunal cantonal, 2012-08-15, FR</w:t>
      </w:r>
    </w:p>
    <w:p>
      <w:r>
        <w:rPr>
          <w:b/>
        </w:rPr>
        <w:t xml:space="preserve">Quelle: </w:t>
      </w:r>
      <w:r>
        <w:t>https://mcp.opencaselaw.ch/entscheid/vd_findinfo_HC___2012___582</w:t>
      </w:r>
    </w:p>
    <w:p>
      <w:r>
        <w:t>FR: VD_FINDINFO HC / 2012 / 582 du 15 août 2012</w:t>
      </w:r>
    </w:p>
    <w:p>
      <w:r>
        <w:t>IT: VD_FINDINFO HC / 2012 / 582 del 15 agosto 2012</w:t>
      </w:r>
    </w:p>
    <w:p>
      <w:pPr>
        <w:pStyle w:val="Heading2"/>
      </w:pPr>
      <w:r>
        <w:t>Regeste</w:t>
      </w:r>
    </w:p>
    <w:p>
      <w:r>
        <w:t>REVENU HYPOTHÉTIQUE | 176 al. 1 CC, 308 al. 1 let. b CPC (CH), 312 al. 1 CPC (CH)</w:t>
      </w:r>
    </w:p>
    <w:p>
      <w:pPr>
        <w:pStyle w:val="Heading2"/>
      </w:pPr>
      <w:r>
        <w:t>Erwägungen</w:t>
      </w:r>
    </w:p>
    <w:p>
      <w:r>
        <w:rPr>
          <w:b/>
        </w:rPr>
        <w:t>E. 1</w:t>
      </w:r>
    </w:p>
    <w:p>
      <w:r>
        <w:t>La voie de l'appel est ouverte contre les prononcés de mesures protectrices de l'union conjugale, qui doivent être considérés comme des ordonnances de mesures provisionnelles (art. 308 al. 1 let. b CPC) dans les causes non patrimoniales ou dont la valeur litigieuse dépasse 10'000 fr. (art. 308 al. 2 CPC). Les prononcés de  mesures protectrices de l'union conjugale étant régis par la procédure sommaire, selon les art. 248 let. d et 271 CPC par renvoi de l'art. 276 CPC pour les procédures matrimoniales, le délai d'appel est de dix jours (art. 314 al. 1 CPC [TF 5A_704/2011 du 23 février 2012]). Interjeté en temps utile par une personne qui y a intérêt (art. 59 al. 2 let. a CPC) et portant sur des conclusions qui, capitalisées selon l'art. 92 al. 2 CPC sont supérieures à 10'000 francs, l'appel est recevable (art. 311 CPC).</w:t>
      </w:r>
    </w:p>
    <w:p>
      <w:r>
        <w:rPr>
          <w:b/>
        </w:rPr>
        <w:t>E. 2.1</w:t>
      </w:r>
    </w:p>
    <w:p>
      <w:r>
        <w:t>L'appel en matière de protection de l'union conjugale relève de la compétence du juge unique (art. 84 al. 2 LOJV [loi du 12 décembre 1979 d'organisation judiciaire; RSV 173.01]).</w:t>
      </w:r>
    </w:p>
    <w:p>
      <w:r>
        <w:rPr>
          <w:b/>
        </w:rPr>
        <w:t>E. 2.2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w:t>
      </w:r>
    </w:p>
    <w:p>
      <w:r>
        <w:rPr>
          <w:b/>
        </w:rPr>
        <w:t>E. 2.3</w:t>
      </w:r>
    </w:p>
    <w:p>
      <w:r>
        <w:t>L'appel est principalement réformatoire. L'autorité d'appel peut toutefois à titre exceptionnel renvoyer la cause en première instance si un élément de la demande n'a pas été examiné ou si l'état de fait doit être complété sur des points essentiels (Tappy, Les voies de droit du nouveau Code de procédure civile,  JT 2010 III 148).</w:t>
      </w:r>
    </w:p>
    <w:p>
      <w:r>
        <w:rPr>
          <w:b/>
        </w:rPr>
        <w:t>E. 2.4</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 ème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l'occurrence, les pièces répertoriées sous numéro 4 du bordereau produit à l'appui du mémoire d'appel (les pièces 1 à 3 avaient déjà été versées au dossier de première instance) sont antérieures à l'audience de mesures protectrices du 20 juin 2012, sans que H.________ n'apporte la preuve qu'il n'ait pas pu les produire devant la première instance, de sorte qu'elles sont irrecevables.</w:t>
      </w:r>
    </w:p>
    <w:p>
      <w:r>
        <w:rPr>
          <w:b/>
        </w:rPr>
        <w:t>E. 2.5</w:t>
      </w:r>
    </w:p>
    <w:p>
      <w:r>
        <w:t>Enfin, n'étant pas nouvelles, les conclusions sont recevables.</w:t>
      </w:r>
    </w:p>
    <w:p>
      <w:r>
        <w:rPr>
          <w:b/>
        </w:rPr>
        <w:t>E. 3.1</w:t>
      </w:r>
    </w:p>
    <w:p>
      <w:r>
        <w:t>L'appelant considère tout d'abord que le premier juge devait tenir compte d'une franchise mensualisée de 41 fr. (500 :12) pour son assurance maladie, en plus de la prime, car il est notoire qu'un homme de presque quarante-six ans épuise sa franchise avant de se voir rembourser par son assurance maladie.</w:t>
      </w:r>
    </w:p>
    <w:p>
      <w:r>
        <w:rPr>
          <w:b/>
        </w:rPr>
        <w:t>E. 3.2</w:t>
      </w:r>
    </w:p>
    <w:p>
      <w:r>
        <w:t>Le montant de la franchise, la part des frais médicaux qui demeure à la charge de l'assuré, peut être inclus dans le minimum vital après avoir été mensualisé, lorsqu'il est certain que le débiteur devra assumer des frais médicaux qui dépasseront la franchise, par exemple en cas de maladie chronique (ATF 129 III 242, JdT 2003 II 104, SJ 2003 I 375).</w:t>
      </w:r>
    </w:p>
    <w:p>
      <w:r>
        <w:rPr>
          <w:b/>
        </w:rPr>
        <w:t>E. 3.3</w:t>
      </w:r>
    </w:p>
    <w:p>
      <w:r>
        <w:t>En l'espèce, l'appelant n'établit aucune dépense médicale (TF 5A_860/2011 du 11 juin 2012) et l'assertion selon laquelle un homme de quarante-six épuiserait sa franchise n'étant pas notoire, il s'ensuit que le premier grief est infondé et doit être rejeté.</w:t>
      </w:r>
    </w:p>
    <w:p>
      <w:r>
        <w:rPr>
          <w:b/>
        </w:rPr>
        <w:t>E. 4</w:t>
      </w:r>
    </w:p>
    <w:p>
      <w:r>
        <w:t>c. 4 p. 5 ss; 127 IIIc. 2a in fine p. 139). Enfin, plus la situation financière est précaire, plus il apparaît justifié d'imputer un revenu hypothétique lors du calcul des contributions d'entretien dues (Sabrina Burgat, Le revenu hypothétique en cas de séparation ou de divorce, Newsletter DroitMatrimonial.ch septembre. 2011).</w:t>
      </w:r>
    </w:p>
    <w:p>
      <w:r>
        <w:rPr>
          <w:b/>
        </w:rPr>
        <w:t>E. 4.1</w:t>
      </w:r>
    </w:p>
    <w:p>
      <w:r>
        <w:t>L'appelant, sans le soutenir franchement, semble ensuite critiquer le principe d'un revenu hypothétique. Il ne conteste pas que sa capacité de travail est pleine et entière.</w:t>
      </w:r>
    </w:p>
    <w:p>
      <w:r>
        <w:rPr>
          <w:b/>
        </w:rPr>
        <w:t>E. 4.2</w:t>
      </w:r>
    </w:p>
    <w:p>
      <w:r>
        <w:t>Pour fixer la contribution d'entretien, le juge peut imputer à un époux un revenu hypothétique supérieur à celui obtenu effectivement si deux conditions sont remplies : premièrement, on peut exiger de la personne qu'elle exerce une activité lucrative ou augmente celle-ci eu égard, notamment, à sa formation, à son âge et à son état de santé (question de droit). Le juge doit préciser le type d'activité professionnelle que cette personne peut raisonnablement accomplir. Deuxièmement, la personne a la possibilité effective d'exercer l'activité ainsi déterminée et d'en obtenir un certain revenu, compte tenu des circonstances subjectives susmentionnées, ainsi que du marché du travail (question de fait). Pour arrêter le montant du salaire, le juge peut éventuellement se baser sur l'enquête suisse sur la structure des salaires, réalisée par l'Office fédéral des statistiques (TF 5A_860/2011 du 11 juin 2012, c. 4.1.1) ou sur d'autres sources (conventions collectives de travail; Philipp Mühlhauser, Das Lohnbuch 2010, Mindestlöhne sowie orts- und berufübliche Löhne in der Schweiz, Zurich 2010).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III</w:t>
      </w:r>
    </w:p>
    <w:p>
      <w:r>
        <w:rPr>
          <w:b/>
        </w:rPr>
        <w:t>E. 4.3</w:t>
      </w:r>
    </w:p>
    <w:p>
      <w:r>
        <w:t>Le premier juge a retenu que depuis son licenciement, intervenu quatre mois auparavant, l'intimé n'avait entrepris aucune démarche pour retrouver un salaire équivalent à celui qu'il percevait jusqu'à la fin du mois de février 2012 et qu'il n'avait pas davantage fait valoir ses droits auprès de l'assurance chômage. Il a constaté qu'aucun élément au dossier ne permettait de démontrer que le débiteur serait dans l'incapacité de retrouver un travail lui permettant d'obtenir un salaire équivalent à celui qu'il percevait auprès de [...], en sorte qu'il était raisonnable d'exiger de H.________ qu'il réalise un tel gain.</w:t>
      </w:r>
    </w:p>
    <w:p>
      <w:r>
        <w:rPr>
          <w:b/>
        </w:rPr>
        <w:t>E. 4.4</w:t>
      </w:r>
    </w:p>
    <w:p>
      <w:r>
        <w:t>En l'occurrence, l'appelant est au bénéfice d'une formation professionnelle complète. Il est en bonne santé et ne prétend pas que la situation du marché de travail serait si tendue qu'elle ne pourrait pas lui offrir un emploi équivalent dans le domaine de la conciergerie. Dans ces conditions, et vu la précarité de la situation financière de la famille, il était juste d'exiger du débiteur qu'il réalise un revenu similaire que par le passé. L'application du principe du revenu hypothétique ne prête dès lors pas le flanc à la critique. Le moyen est donc infondé.</w:t>
      </w:r>
    </w:p>
    <w:p>
      <w:r>
        <w:rPr>
          <w:b/>
        </w:rPr>
        <w:t>E. 5</w:t>
      </w:r>
    </w:p>
    <w:p>
      <w:r>
        <w:t>L'appelant considère, sur la base de la fiche de salaire pour le mois de janvier 2012, qu'il aurait perçu un montant mensuel net de 4'690 fr. 75, part au 13 ème salaire comprise, s'il était resté l'employé de [...]. Pour parvenir au chiffre de 4'743 fr. par mois, le premier juge s'est fondé sur le certificat de salaire produit par [...] pour l'année 2011. Le calcul opéré par le premier juge pour convertir le salaire annuel en salaire mensuel est exact. L'appelant ne prétend d'ailleurs pas le contraire. L'approche du premier juge est correcte tant il est vrai qu'un certificat de salaire destiné à l'autorité fiscale a une force probante plus accrue qu'un décompte de salaire mensuel. Au reste, l'appelant ne soutient pas qu'il aurait moins gagné en 2012 qu'en 2011, la différence étant au demeurant minime (50 fr.). Par ailleurs, le premier juge a tenu compte de chiffres plus favorables à l'appelant lorsqu'il s'est agi de calculer son salaire auprès de l'employeur [...]. Il a en effet retenu une moyenne pour l'année 2012 de 1'298 fr. par mois, alors que la fiche de salaire pour le mois de juillet 2012 mentionne un gain net de 1'414 fr. 65 et que le certificat de salaire pour les mois de juillet à décembre 2011 fait état d'un montant de 13'418 fr. soit une moyenne de 2'236 fr. 30 par mois. Le raisonnement du premier juge consistant à imputer au débiteur un salaire mensuel de 6'041 fr. 30 par mois (4'743.30 + 1'298) ne prête en conséquence pas flanc le à la critique. Il s'ensuit que le moyen de l'appelant est infondé.</w:t>
      </w:r>
    </w:p>
    <w:p>
      <w:r>
        <w:rPr>
          <w:b/>
        </w:rPr>
        <w:t>E. 6</w:t>
      </w:r>
    </w:p>
    <w:p>
      <w:r>
        <w:t>En matière de mesures protectrices de l'union conjugale, seule la première instance bénéficie de la gratuité. Les frais judiciaires de la procédure d'appel peuvent être mis à la charge d'une partie.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la requête d'assistance judiciaire de H.________ doit être rejetée, l'appel étant d'emblée dénué de chances de succès (art. 117 CPC), et les frais judiciaires, arrêtés à 600 francs (art. 65 al. 3 TFJC [tarif des frais judiciaires civils du 28 septembre 2010; RSV 270.11.5]) sont mis à sa charge. Il n'y a pas lieu d'allouer de dépens à la partie intimée, qui n'a pas été invitée à déposer une réponse. Par ces motifs, le juge délégué de la Cour d’appel civile du Tribunal cantonal, statuant à huis clos, en application de l'art. 312 al. 1 CPC, prononce : I. L’appel est rejeté. II. Le prononcé est confirmé. III. La requête d'assistance judiciaire est rejetée. IV. Les frais judiciaires de deuxième instance, arrêtés à 600 fr. (six cents francs), sont mis à la charge de l'appelant H.________. V. L'arrêt motivé est exécutoire. Le juge délégué : Le greffier : Du 15 août 2012 Le dispositif de l'arrêt qui précède est communiqué par écrit aux intéressés. Le greffier : Du L'arrêt qui précède, dont la rédaction a été approuvée à huis clos, est notifié en expédition complète, par l'envoi de photocopies, à : ‑ Me Laurent Savoy (pour H.________), ‑ Me Laurent Gilliard (pour 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