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577 vom 11. September 2012</w:t>
      </w:r>
    </w:p>
    <w:p>
      <w:r>
        <w:t>VD Tribunal cantonal, 2012-09-11, FR</w:t>
      </w:r>
    </w:p>
    <w:p>
      <w:r>
        <w:rPr>
          <w:b/>
        </w:rPr>
        <w:t xml:space="preserve">Quelle: </w:t>
      </w:r>
      <w:r>
        <w:t>https://mcp.opencaselaw.ch/entscheid/vd_findinfo_HC___2012___577</w:t>
      </w:r>
    </w:p>
    <w:p>
      <w:r>
        <w:t>FR: VD_FINDINFO HC / 2012 / 577 du 11 septembre 2012</w:t>
      </w:r>
    </w:p>
    <w:p>
      <w:r>
        <w:t>IT: VD_FINDINFO HC / 2012 / 577 del 11 settembre 2012</w:t>
      </w:r>
    </w:p>
    <w:p>
      <w:pPr>
        <w:pStyle w:val="Heading2"/>
      </w:pPr>
      <w:r>
        <w:t>Regeste</w:t>
      </w:r>
    </w:p>
    <w:p>
      <w:r>
        <w:t>EXPULSION DE LOCATAIRE, EFFET SUSPENSIF, BREF DÉLAI | 257d CO, 257 CPC (CH), 315 al. 1 CPC (CH)</w:t>
      </w:r>
    </w:p>
    <w:p>
      <w:pPr>
        <w:pStyle w:val="Heading2"/>
      </w:pPr>
      <w:r>
        <w:t>Erwägungen</w:t>
      </w:r>
    </w:p>
    <w:p>
      <w:r>
        <w:rPr>
          <w:b/>
        </w:rPr>
        <w:t>E. 1</w:t>
      </w:r>
    </w:p>
    <w:p>
      <w:r>
        <w:t>let. e CO (Code des obligations du 30 mars 1911; RS 220) consacre I’annulabilité d’une résiliation (cf. TF 4A_189/2011 du 4 juillet 2011, in SJ 2011 I 462; TF 4A_634/2009 du 3 mars 2010 c. 1.1; SJ 2001 I 17 c. 1a; ATF 119 II 147 c. 1). En l'espèce, calculée conformément à l'art. 92 CPC, la valeur litigieuse excède 10'000 fr., si bien que c'est la voie de l'appel qui est ouverte (art. 308 al. 2 CPC). b) Lorsque la décision attaquée a été rendue en procédure sommaire, le délai d’appel est de dix jours (art. 314 al. 1 CPC). L'art. 257 al. 1 CPC admet l'application de la procédure sommaire en présence d'un cas clair. Dans la présente cause, les bailleurs ont requis l'application de la procédure des cas clairs et le premier juge a appliqué cette procédure. Interjeté dans le délai de dix jours par une partie qui y a intérêt (art. 59 al.</w:t>
      </w:r>
    </w:p>
    <w:p>
      <w:r>
        <w:rPr>
          <w:b/>
        </w:rPr>
        <w:t>E. 2</w:t>
      </w:r>
    </w:p>
    <w:p>
      <w:r>
        <w:t>a) 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2010, n. 1 ad art. 310 CPC, p. 1489). En l'espèce, l’état de fait de l’ordonnance attaquée, complété sur la base des pièces au dossier de première instance, est suffisant pour permettre à la cour de céans de statuer sur le fond.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Dans le cas particulier, l'appelante a produit des copies de certificats médicaux. Ceux datés des 15 et 18 juin 2012 ainsi que les copies des certificats établis les 4, 13 et 22 juillet 2012 sont irrecevables, dès lors qu'ils auraient pu être produits en première instance. En outre, le certificat médical établi le 24 août 2012 ne sera pas pris en compte dans la mesure où il ne fait que reprendre le précédent certificat en le faisant porter sur une période postérieure. Les certificats médicaux des 6 et 9 juillet 2012 peuvent être admis dès lors qu'ils ont déjà été produits dans le cadre de la procédure de première instance.</w:t>
      </w:r>
    </w:p>
    <w:p>
      <w:r>
        <w:rPr>
          <w:b/>
        </w:rPr>
        <w:t>E. 3</w:t>
      </w:r>
    </w:p>
    <w:p>
      <w:r>
        <w:t>a) L'appelante reproche au premier juge de ne pas avoir tenu compte de son état de santé qui l'empêcherait de déménager. Elle en aurait fait part à l'autorité de première instance qui aurait dès lors violé le principe de proportionnalité en impartissant à I.________ un délai d'un mois pour quitter son logement.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Le bail à loyer, Lausanne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et les réf. citées); un délai de libération des locaux de trois semaines après la communication de l'ordonnance d'expulsion a été jugé suffisant par la Cour de céans (CACI 8 mars 2012/115; CACI 31 juillet 2012/348). En outre, si l'état de santé d'un locataire doit être pris en considération dans le cadre d'une prolongation du bail (cf. Lachat, op. cit., chap. 30, p. 775), il n'en va pas de même dans la procédure en expulsion fondée sur l'art. 257d CO, où toute prolongation est précisément exclue (cf. art. 272a al. 1 let. a CO). c) Les certificats médicaux figurant au dossier de la cause établissent une incapacité de travail de l'appelante pour la période du 9 juillet au 30 août 2012. Il n'est en revanche nullement question d'une incapacité de déménager, qui n'est dès lors pas motivée. Le moyen allégué par I.________ n'est donc pas susceptible de faire obstacle au droit conféré au bailleur de résilier le contrat de bail en application de l’art. 257d CO et de la jurisprudence susmentionnée. Il y a également lieu de relever qu’en l’espèce, le délai accordé à l'appelante pour quitter les locaux, soit une vingtaine de jours après la communication de l’ordonnance attaquée, ne prête pas le flanc à la critique. Au surplus, l’appelante a d'ores et déjà bénéficié d'une prolongation de fait de quelques semaines et obtiendra en sus un nouveau délai pour obtempérer en raison de l’effet suspensif lié à son appel (art. 315 al. 1 CPC). En effet, le délai fixé à la locataire pour quitter les lieux étant dépassé, un nouveau délai doit lui être fixé par le premier juge, solution déjà appliquée sous l'ancien droit (cf. Guignard, op. cit., n. 2 ad art. 27 LPEBL, p. 217). La conclusion en réforme tendant à une prolongation du bail ne peut dès lors qu'être rejetée. Il en va de même de la conclusion en annulation de la décision attaquée. Celle-ci n'est nullement motivée et l'on ne voit pas quel vice affecterait la présente procédure d'expulsion. Au demeurant, I.________ ne conteste pas, à juste titre, l'application de la procédure en cas clair nonobstant le fait qu'elle ait saisi préalablement la Commission de conciliation d'une requête en contestation du congé (sur cette question, cf. Colombini, Condensé de la jurisprudence fédérale et vaudoise dès 2009 en matière de congé donné en raison du défaut de paiement de loyer (art. 257d CO), in JT 2012 III 37 ss, spéc. n. 61 pp. 66-67 et les réf. citées). Mal fondé, le moyen de l’appelante doit être rejeté.</w:t>
      </w:r>
    </w:p>
    <w:p>
      <w:r>
        <w:rPr>
          <w:b/>
        </w:rPr>
        <w:t>E. 4</w:t>
      </w:r>
    </w:p>
    <w:p>
      <w:r>
        <w:t>S'agissant de la requête d'exécution anticipée déposée le 10 août 2012, elle devient sans objet. Comme cela a déjà été relevé (supra ch. 3 let. c), l'appel a eu pour effet de suspendre le caractère exécutoire de la décision attaquée (art. 315 al. 1 CPC) et le délai fixé par le premier juge à la locataire pour libérer les locaux est à ce jour largement dépassé. Or, l'autorisation d'exécution anticipée prononcée par l'instance d'appel, qui revient à retirer l'effet suspensif à l'appel et à conférer de manière anticipée un caractère exécutoire à la décision attaquée au sens de l'art. 336 al. 1 let. b CPC (cf. Jeandin, op. cit., n. 4 et 5 ad art. 315, pp. 1260-1261; Reetz/Hilber, in Sutter-Somm/Hasenböhler/Leuenberger, Kommentar zur Schweizerischen Zivilprozessordnung, Zurich 2010, n. 23 ad art. 315 CPC, p. 1990), ne peut se concevoir lorsque le délai fixé initialement à la partie locataire pour quitter les locaux qu'elle occupe devra à nouveau être fixé par l'autorité de première instance à laquelle l'affaire doit être renvoyée, sauf à révoquer l'autorisation d'exécution anticipée déjà accordée (cf. Reetz/Hilber, op. cit., n. 41 ad art. 315 CPC, p. 1996). Dans la mesure où le présent appel est rejeté, on se trouve dans une telle situation, la cause devant être renvoyée au premier juge afin qu'il fixe un nouveau délai à la locataire pour quitter les locaux qu'elle occupe.</w:t>
      </w:r>
    </w:p>
    <w:p>
      <w:r>
        <w:rPr>
          <w:b/>
        </w:rPr>
        <w:t>E. 5</w:t>
      </w:r>
    </w:p>
    <w:p>
      <w:r>
        <w:t>En conclusion, l’appel doit être rejeté, en application de l’art. 312 al. 1 CPC, et l’ordonnance confirmée. Les frais judiciaires de deuxième instance, arrêtés à 200 fr. (art. 62 al. 3 et 69 al. 1 TFJC [Tarif du 28 septembre 2010 des frais judiciaires civils; RSV 270.11.5]), sont mis à la charge de l’appelante qui succombe (art. 106 al. 1 CPC). Il ne sera pas perçu de frais judiciaires s'agissant de la requête d'exécution anticipée, celle-ci ayant été déclarée sans objet. Il n’y a pas lieu à l’allocation de dépens de deuxième instance, dans la mesure où les intimés ont répondu à l'appel sans y avoir été invités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