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573 vom 6. September 2012</w:t>
      </w:r>
    </w:p>
    <w:p>
      <w:r>
        <w:t>VD Tribunal cantonal, 2012-09-06, FR</w:t>
      </w:r>
    </w:p>
    <w:p>
      <w:r>
        <w:rPr>
          <w:b/>
        </w:rPr>
        <w:t xml:space="preserve">Quelle: </w:t>
      </w:r>
      <w:r>
        <w:t>https://mcp.opencaselaw.ch/entscheid/vd_findinfo_HC___2012___573</w:t>
      </w:r>
    </w:p>
    <w:p>
      <w:r>
        <w:t>FR: VD_FINDINFO HC / 2012 / 573 du 6 septembre 2012</w:t>
      </w:r>
    </w:p>
    <w:p>
      <w:r>
        <w:t>IT: VD_FINDINFO HC / 2012 / 573 del 6 settembre 2012</w:t>
      </w:r>
    </w:p>
    <w:p>
      <w:pPr>
        <w:pStyle w:val="Heading2"/>
      </w:pPr>
      <w:r>
        <w:t>Regeste</w:t>
      </w:r>
    </w:p>
    <w:p>
      <w:r>
        <w:t>OBLIGATION D'ENTRETIEN, CONJOINT, PROTECTION DE L'UNION CONJUGALE, MINIMUM VITAL | 163 CC,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(art. 59 al. 2 let. a CPC) et portant sur des conclusions patrimoniales dont la valeur litigieuse, capitalisée selon l’art. 92 al. 2 CPC, est supérieure à 10'000 fr., l'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op. cit., n. 5 ad art. 296 CPC et les réf. citées ; HohI, op. cit., n. 2415, p. 438 ; JT 2011 III 43). En matière de mesures protectrices de l’union conjugale, la maxime inquisitoire est applicable dans tous les cas (TF 5A_361/2011 du 7 décembre 2011 c. 5, in RSPC 3/2012, n. 1145, pp. 196 ss). Partant, les pièces produites par l'appelant sur réquisition du Juge de céans sont recevables.</w:t>
      </w:r>
    </w:p>
    <w:p>
      <w:r>
        <w:rPr>
          <w:b/>
        </w:rPr>
        <w:t>E. 3</w:t>
      </w:r>
    </w:p>
    <w:p>
      <w:r>
        <w:t>a) L'appelant reproche au premier juge de l'avoir astreint au paiement d'une contribution d'entretien. Il estime qu'en raison de la durée du mariage et de sa situation financière aucune pension ne serait due. Il relève également que l'intimée gagne davantage que le montant retenu dans l'ordonnance, qu'il ne doit pas contribuer à l'entretien de l'enfant de l'intimée et que le premier juge n'a pas tenu compte du fait que l'intimée vivait en concubinage. b) Selon l'art. 176 al. 1 ch. 1 CC (Code civil suisse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TF 5A_205/2010 du 12 juillet 2010, c. 4.2.3 publié in La Pratique du droit de la famille [FamPra.ch] 2010, p. 894). C'est au créancier de la contribution d'entretien qu'il incombe de préciser les dépenses nécessaires à son train de vie et de les rendre vraisemblables (ATF 115 II 424 c. 2). Le législateur n'a pas arrêté de mode de calcul pour fixer les contributions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des circonstances importantes ne justifient de s'en écarter (ATF 119 II 314 c. 4b/bb). Selon la jurisprudence, dans le domaine du droit de la famille, le minimum vital du débiteur de l'entretien ne doit pas être entamé (ATF 135 III 66; ATF 133 III 57 c. 3, JT 2007 I 351; TF 5A_432/2011 du 20 septembre 2011 c. 3.5.2, FamPra.ch.2012 p. 212). En ce qui concerne les dettes, la jurisprudence et la doctrine admettent que, lorsque la situation financière des parties le permet, elles peuvent être prises en considération dans le calcul du minimum vital du droit de la famille si elles ont été assumées avant la fin du ménage commun aux fins de l'entretien des deux époux, ou lorsque ceux-ci en répondent solidairement (ATF 127 III 289 c. 2a/bb; TF 5A_453/2009 du 9 novembre 2009 c. 4.3.2).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JT 2002 I 294 c. 4 et les références citées). La prise en compte d’un revenu hypothétique ne revêt pas un caractère pénal; il s’agit simplement d’inciter le débiteur à réaliser le revenu qu’il est à même de se procurer en faisant preuve de bonne volonté et que l'on peut attendre de lui afin de remplir ses obligations; les critères permettant de déterminer le revenu hypothétique sont en particulier la qualification professionnelle, l’âge, l’état de santé et la situation du marché du travail (ATF 128 III 4 précité c. 4a; TF 5C.40/2003 du 6 juin 2003 c. 2.1.1; TF 5A_685/2007 du 26 février 2008 c. 2.3; TF 5A_170/2007 du 27 juin 2007 c. 3.1). Les principes relatifs au revenu hypothétique valent tant pour le débiteur que pour le créancier d’entretien; un revenu hypothétique peut en effet aussi être imputé au créancier d’entretien (TF 5A_838/2009 du 6 mai 2010, in FamPra.ch 2010 n° 45 p. 669 c. 4.2.4; TF 5P. 63/2006 du 3 mai 2006 c. 3.2). c) En l'espèce, l'appelant suit une formation dispensée par l'ORP et a effectué quatorze recherches d'emploi durant le mois de juillet 2012 tel que cela ressort du document "Preuves des recherches personnelles effectuées en vue de trouver un emploi" produit par l'appelant. Celui-ci fournit ainsi les efforts nécessaires afin de retrouver une activité lucrative et on ne saurait lui imputer un revenu hypothétique. Il perçoit des indemnités journalières de l'assurance chômage arrêtées à 152 fr. 25. S'il a perçu un montant de 2'972 fr. 95 au mois de juillet 2012 pour 22 jours indemnisés, il y a lieu de retenir un revenu mensuel moyen de l'ordre de 2'750 fr. afin de prendre en compte les mois comportant moins de jours indemnisés. Concernant ses charges, le premier juge a retenu un total de 2'550 fr. composé d'un loyer de 1'100 fr. et d'une prime d'assurance-maladie de 250 fr., en sus du montant de base de 1'200 francs. Il ressort des pièces produites en deuxième instance par l'appelant que son loyer s'élève à 990 fr. et sa prime d'assurance-maladie à 263 fr. 90. Il s'acquitte en outre régulièrement d'une contribution d'entretien d'un montant de 500 fr. en faveur de ses deux filles, comme le démontrent les quittances établies par la mère, et exerce régulièrement son droit de visite ce qui justifie un forfait de 150 francs. En tenant compte d'un montant de base de 1'200 fr., les charges totales de l'appelant sont de 3'103 fr. 90. Sa situation financière présente donc un déficit de 353 fr. 90 (2'750 fr. – 3103 fr. 90) ce qui ne lui permet pas de s'acquitter d'une contribution d'entretien sans entamer son minimum vital. Certes, il n'a pas demandé de subsides pour le paiement de sa prime d'assurance-maladie. Toutefois, même si cette prime de 263 fr. 90 était entièrement couverte, on constate qu'un déficit subsisterait. Enfin les remboursements de dettes auprès de [...] et de [...] ne peuvent pas être prises en compte, ce qui n'a toutefois pas d'incidence sur l'issue du litige, le minimum vital de l'appelant étant déjà grevé. c) Au vu de ce qui précède le moyen soulevé par l'appelant est admis et les autres griefs formés par celui-ci peuvent demeurer en l’état.</w:t>
      </w:r>
    </w:p>
    <w:p>
      <w:r>
        <w:rPr>
          <w:b/>
        </w:rPr>
        <w:t>E. 4</w:t>
      </w:r>
    </w:p>
    <w:p>
      <w:r>
        <w:t>En conclusion, l'appel doit être admis et l'ordonnance réformée en ce sens qu'aucune contribution d'entretien n'est due. Les frais judiciaires de deuxième instance, arrêtés à 600 fr., sont mis à la charge de l'intimée qui succombe (art. 63 al. 1 TFJC [tarif des frais judiciaires civils du 28 septembre 2010 ; RSV 270.11.5] ; art. 106 al. 1 CPC). L'appelant ayant agi sans l'assistance d'un mandataire professionnel, il n'y a pas lieu à l'allocation de dépens.</w:t>
      </w:r>
    </w:p>
    <w:p>
      <w:r>
        <w:rPr>
          <w:b/>
        </w:rPr>
        <w:t>E. 5</w:t>
      </w:r>
    </w:p>
    <w:p>
      <w:r>
        <w:t>Une erreur de plume s'est glissée au chiffre II du dispositif de l'arrêt en ce sens que le chiffre III du dispositif de l'ordonnance est modifié comme suit "III.- (supprimé)" et non "II.- (supprimé)". Il convient dès lors de rectifier d’office le dispositif afin de supprimer cette contradiction (art. 334 al. 1 CPC). Par ces motifs, le juge délégué de la Cour d’appel civile du Tribunal cantonal, statuant à huis clos, prononce : I. L'appel est admis. II. L'ordonnance est réformée comme suit au chiffre III de son dispositif. III.- (supprimé). L'ordonnance est confirmée pour le surplus. III. Les frais de deuxième instance, arrêtés à 600 fr. (six cents francs), sont mis à la charge de l'intimée. IV. L'intimée L.________ doit verser à l'appelant A.________ la somme de 600 fr. (six cents francs) à titre de restitution d'avance de frais de deuxième instance. V. L'arrêt est exécutoire. Le juge délégué : Le greffier : Du</w:t>
      </w:r>
    </w:p>
    <w:p>
      <w:r>
        <w:rPr>
          <w:b/>
        </w:rPr>
        <w:t>E. 10</w:t>
      </w:r>
    </w:p>
    <w:p>
      <w:r>
        <w:t>septembre 2012 Le dispositif de l'arrêt qui précède est communiqué par écrit aux intéressés. Le greffier : Du L'arrêt qui précède, dont la rédaction a été approuvée à huis clos, est notifié en expédition complète, par l'envoi de photocopies à : ‑ M. A.________, ‑ Mme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