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566 vom 27. August 2012</w:t>
      </w:r>
    </w:p>
    <w:p>
      <w:r>
        <w:t>VD Tribunal cantonal, 2012-08-27, FR</w:t>
      </w:r>
    </w:p>
    <w:p>
      <w:r>
        <w:rPr>
          <w:b/>
        </w:rPr>
        <w:t xml:space="preserve">Quelle: </w:t>
      </w:r>
      <w:r>
        <w:t>https://mcp.opencaselaw.ch/entscheid/vd_findinfo_HC___2012___566</w:t>
      </w:r>
    </w:p>
    <w:p>
      <w:r>
        <w:t>FR: VD_FINDINFO HC / 2012 / 566 du 27 août 2012</w:t>
      </w:r>
    </w:p>
    <w:p>
      <w:r>
        <w:t>IT: VD_FINDINFO HC / 2012 / 566 del 27 agosto 2012</w:t>
      </w:r>
    </w:p>
    <w:p>
      <w:pPr>
        <w:pStyle w:val="Heading2"/>
      </w:pPr>
      <w:r>
        <w:t>Regeste</w:t>
      </w:r>
    </w:p>
    <w:p>
      <w:r>
        <w:t>DROIT DE GARDE, RELATIONS PERSONNELLES, OBLIGATION D'ENTRETIEN | 176 al. 1 ch. 1 CC, 176 al. 3 CC, 273 CC, 308 CPC (CH), 317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(Tappy, Les voies de droit du nouveau Code de procédure civile, JT 2010 III 126). Le juge délégué de la Cour d’appel est compétent pour statuer en qualité de juge unique sur un appel formé contre une ordonnance de mesures provisionnelles, en vertu de l’art. 84 al. 2 LOJV (loi d’organisation judiciaire du 12 décembre 1989,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 En l’espèce, le litige portant sur la situation d’enfants mineurs, les pièces produites à l’appui de l’appel sont dès lors recevables.</w:t>
      </w:r>
    </w:p>
    <w:p>
      <w:r>
        <w:rPr>
          <w:b/>
        </w:rPr>
        <w:t>E. 3</w:t>
      </w:r>
    </w:p>
    <w:p>
      <w:r>
        <w:t>a) L’appelante conteste en premier lieu l’ampleur du droit de visite accordé à l’intimé dans la décision de première instance. Elle fait valoir que les changements de domicile sont perturbants pour l’enfant et que le régime mis en place concernant le passage du mardi au mercredi n’est pas adéquat. Il serait ainsi préférable que l’exercice du droit de visite du week-end soit prolongé jusqu’au mardi matin. b)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[Code civil suisse du 10 décembre 1907, RS 210]).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w:t>
      </w:r>
    </w:p>
    <w:p>
      <w:r>
        <w:rPr>
          <w:b/>
        </w:rPr>
        <w:t>E. 4</w:t>
      </w:r>
    </w:p>
    <w:p>
      <w:r>
        <w:t>a) L’appelante soutient ensuite que la contribution mensuelle de l’intimé, telle qu’arrêtée par le premier juge, est insuffisante et devrait être augmentée à 3'000 fr. En effet, les revenus de sa fortune n’auraient pas été pris en compte correctement, le premier juge n’aurait pas dû faire abstraction des importants bonus perçus par l’intimé en 2008, 2009, 2010 et 2011. Enfin, les revenus de la compagne de l’intimé devraient être pris en compte dans le calcul du budget de ce dernier. b/a) Le revenu déterminant pour la fixation de la contribution d'entretien est le revenu effectif ou effectivement réalisable, soit s'agissant des revenus du travail, le revenu net, cotisations sociales déduites. Le revenu de la fortune est pris en compte dans la mesure où il est régulier ou s'il sera perçu avec une grande vraisemblance à l'avenir (Hausheer/Sypcher, Handbuch des Unterhaltsrechts, 2è éd., 2010, no 01.75, p. 35 et réf.; Juge délégué CACI 23 septembre 2011/268). b/b)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méthodes de calcul, montant, durée et limites, SJ 2007 II 81). A cet égard, le Tribunal fédéral a jugé que la contribution d'entretien à fixer durant les mesures protectrices de l'union conjugale ou les mesures provisoires de l'art. 137 aCC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toit et de table ayant pour but de partager les frais et les dépenses (TF 5A_625/2007 du 26 mars 2008 c. 2.3; TF 5P.463/2003; TF 5P.90/2002 du 1 er juillet 2002 c. 2b aa, publié in FamPra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b/c) Lorsque l'époux créancier vit en concubinage qualifié, soit dans une relation fixe qui lui apporte les même avantages qu'un mariage, le droit à l'entretien tombe; il importe peu que le concubin dispose ou non des moyens financiers nécessaires (ATF 138 III 97 c. 2.3). Il existe une présomption réfragable qu'un concubinage qui dure depuis cinq ans au moment de l'introduction de la procédure judiciaire constitue un concubinage qualifié. Il n'est pas arbitraire de nier l'existence d'un concubinage qualifié, même si un enfant commun est né de la nouvelle relation, lorsque celle-ci ne dure que depuis deux ans (ATF 138 III 97 c. 3.4, critiqué sur ce dernier point par Bohnet/Burgat, Effets du concubinage sur les contributions d'entretien, Newsletter droit matrimonial mars 2012). c/a) Les pièces produites par l’appelante, pour démontrer qu’elle payerait régulièrement un intérêt sur le prêt accordé par ses parents pour l’acquisition du bien immobilier lui procurant les revenus contestés, n’ont pas la valeur probante qu’elle leur accorde. Il résulte en effet des pièces 113 et 114 qu’elle s’est engagée à rembourser des intérêts commençant à courir le 1 er juillet 2002, mais elle n’a apparemment payé de tels intérêts que pour une période allant de juillet 2010 à juin 2011. Il n’est donc pas établi que l’intéressée verserait actuellement des intérêts pour un prêt familial. C’est donc à bon droit que le premier juge a retenu un montant de 2'840 fr. 50 à titre de revenus immobiliers mensuels de l’appelante. Le moyen doit être rejeté. c/b) L’appelante ne conteste pas que l’intimé soit au chômage. Elle ne prétend pas non plus qu’il faudrait lui imputer un revenu hypothétique supérieur aux montants obtenus mensuellement. C’est dès lors à juste titre que le premier juge a calculé la contribution d’entretien sur cette base, de sorte qu’il n’y a pas lieu d’ordonner la production requise par l’appelante de la lettre de licenciement de l’intimé et de ses conditions. Selon la pièce 116 produite par l’appelante, les bonus perçus les années précédentes auraient été versés dans le fonds de pension de l’intimé et, selon les déclarations de celui-ci, auraient servi à payer les impôts communs. L’appelante affirme d’ailleurs elle-même que l’intimé a toujours proposé de les partager. Il ne saurait dès lors être question de les prendre en considération pour les contributions dues dès le 1 er juin 2012, alors que l’intimé n’en bénéficie manifestement plus. En outre, il résulte du dossier que le délai cadre de la période de chômage de l’intimé a débuté le 1 er avril 2012, de sorte que l’affirmation de l’appelante, qui ne repose sur aucune preuve, que l’intimé a encore perçu son salaire en mai et juin 2012, doit être écartée. c/c) Enfin, c’est à bon droit que, pour tenir compte du concubinage de l’intimé, le premier juge a pris en compte la moitié du minimum vital et du loyer de celui-ci. La prise en compte des revenus de la compagne ne se justifierait qu’en cas de concubinage qualifié, hypothèse non réalisée en l’espèce. Le premier juge n’avait donc aucune raison d’ordonner la production de pièces concernant les revenus de la compagne de l’intimé. Le second grief doit également être rejeté.</w:t>
      </w:r>
    </w:p>
    <w:p>
      <w:r>
        <w:rPr>
          <w:b/>
        </w:rPr>
        <w:t>E. 5</w:t>
      </w:r>
    </w:p>
    <w:p>
      <w:r>
        <w:t>Au vu de ce qui précède, l’appel doit être rejeté en vertu de l’art. 312 al. 1 CPC et l’ordonnance de mesures provisionnelles attaquée confirmée.</w:t>
      </w:r>
    </w:p>
    <w:p>
      <w:r>
        <w:rPr>
          <w:b/>
        </w:rPr>
        <w:t>E. 6</w:t>
      </w:r>
    </w:p>
    <w:p>
      <w:r>
        <w:t>L’appelante ayant succombé, les frais judiciaires de deuxième instance, arrêtés à 600 fr., sont mis à sa charge (art. 106 al. 1 CPC ; art. 65 al. 2 TFJC [tarif des frais judicaires civils du 28 septembre 2010]). L’intimé n’ayant pas été invité à se déterminer, il n’y a pas lieu de lui allouer de dépens.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A.K.________, née [...]. IV. L’arrêt motivé est exécutoire. Le juge délégué : La greffière : Du 28 août 2012 Le dispositif de l'arrêt qui précède est communiqué par écrit aux intéressés. La greffière : Du L'arrêt qui précède, dont la rédaction a été approuvée à huis clos, est notifié en expédition complète, par l'envoi de photocopies, à : ‑ Mme A.K.________, née [...], ‑ Me Violaine Jaccottet Scherif (pour B.K.________).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