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557 vom 7. August 2012</w:t>
      </w:r>
    </w:p>
    <w:p>
      <w:r>
        <w:t>VD Tribunal cantonal, 2012-08-07, FR</w:t>
      </w:r>
    </w:p>
    <w:p>
      <w:r>
        <w:rPr>
          <w:b/>
        </w:rPr>
        <w:t xml:space="preserve">Quelle: </w:t>
      </w:r>
      <w:r>
        <w:t>https://mcp.opencaselaw.ch/entscheid/vd_findinfo_HC___2012___557</w:t>
      </w:r>
    </w:p>
    <w:p>
      <w:r>
        <w:t>FR: VD_FINDINFO HC / 2012 / 557 du 7 août 2012</w:t>
      </w:r>
    </w:p>
    <w:p>
      <w:r>
        <w:t>IT: VD_FINDINFO HC / 2012 / 557 del 7 agosto 2012</w:t>
      </w:r>
    </w:p>
    <w:p>
      <w:pPr>
        <w:pStyle w:val="Heading2"/>
      </w:pPr>
      <w:r>
        <w:t>Regeste</w:t>
      </w:r>
    </w:p>
    <w:p>
      <w:r>
        <w:t>PROTECTION DE L'UNION CONJUGALE, TRANSACTION JUDICIAIRE, VICE DU CONSENTEMENT | 176 al. 1 ch. 1 CC, 176 al. 1 ch. 2 CC, 176 al. 3 CC, 23 CO, 24 CO, 241 CPC (CH), 276 al. 3 CPC (CH)</w:t>
      </w:r>
    </w:p>
    <w:p>
      <w:pPr>
        <w:pStyle w:val="Heading2"/>
      </w:pPr>
      <w:r>
        <w:t>Erwägungen</w:t>
      </w:r>
    </w:p>
    <w:p>
      <w:r>
        <w:rPr>
          <w:b/>
        </w:rPr>
        <w:t>E. 1</w:t>
      </w:r>
    </w:p>
    <w:p>
      <w:r>
        <w:t>Selon la jurisprudence de la cour de céans, la voie de l'appel de l'art. 308 let. b CPC (Code de procédure civile suisse du 19 décembre 2008; RS 272) est ouverte contre le prononcé de mesures protectrices de l'union conjugale ratifiant une convention conclue entre les parties, lorsque l'appelant apprend une cause d'invalidité de cette convention après la décision de première instance, mais alors que celle-ci n'est pas encore exécutoire (JT 2011 III 183). Les mesures protectrices de l'union conjugale étant soumise à la procédure sommaire (art. 271 CPC), le délai pour l'introduction de l'appel est de dix jours (art. 314 al. 1 CPC). Interjeté en temps utile par une personne qui y a un intérêt dans un litige portant notamment sur des questions non patrimoniales (cf. TF 5A_205/2008 du 3 septembre 2008 c. 2.3 et références), l'appel est recevable.</w:t>
      </w:r>
    </w:p>
    <w:p>
      <w:r>
        <w:rPr>
          <w:b/>
        </w:rPr>
        <w:t>E. 2</w:t>
      </w:r>
    </w:p>
    <w:p>
      <w:r>
        <w:t>a) L'appel portant sur des mesures protectrices de l'union conjugale, il relève de la compétence du juge unique (art. 84 al. 2 LOJV [loi du 12 décembre 1979 d'organisation judiciaire; RSV 173.01]). b)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l'appréciation des faits sur la base des preuves administrées en première instance (Jeandin, op. cit. n. 6 ad art. 310 CPC, pp. 1249-1250).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(Jeandin, op. cit., n. 8 ad art. 317 CPC, p. 1266).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(JT 2011 III 43). En l'espèce, les pièces produites par l'appelant sont recevables dès lors que le litige a trait au sort d'enfants mineurs.</w:t>
      </w:r>
    </w:p>
    <w:p>
      <w:r>
        <w:rPr>
          <w:b/>
        </w:rPr>
        <w:t>E. 3</w:t>
      </w:r>
    </w:p>
    <w:p>
      <w:r>
        <w:t>L'appelant fait valoir qu'il a été victime d'une erreur essentielle en ce sens qu'il n'aurait pas signé la convention en cause s'il avait su que l'intimée continuerait à dicter les dates et les horaires du droit de visite. Selon l'art. 23 CO (Code des obligations du 30 mars 1911, RS 220), le contrat n'oblige pas celle des parties qui, au moment de conclure, se trouvait dans une erreur essentielle. Les cas d'erreur sont énumérés à l'art. 24 CO, qui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cocontractants qui se prévaut de son erreur est notablement plus étendue, ou lorsque la contre prestation l'est notablement moins qu'il ne voulait en réalité (ch. 3) et lorsque l'erreur porte sur des faits que la loyauté commerciale permettait à celui qui se prévaut de son erreur de considérer comme des éléments nécessaires du contrat (ch. 4). En l'espèce, on ne discerne aucune erreur qui pourrait être considérée comme essentielle selon l'art. 24 CO. La discussion que l'appelant soutient avoir eue le 27 juin 2012 avec l'intimée et l'attitude prétendument faussement conciliante de celle-ci à l'audience, ne constitue pas un fait qui pourrait être à l'origine d'une telle erreur. En effet, l'intimée s'en est tenue au droit de visite tel que défini dans la convention en cause à défaut d'entente entre les parties. Rien dans la convention n'indique que les conditions d'un droit de visite plus large en faveur de l'appelant si ce n'est précisément l'entente des parties. L'appelant pouvait ainsi parfaitement se représenter qu'il devrait obtenir l'accord de l'intimée pour des périodes supplémentaires. Au surplus, il n'est pas extraordinaire que, dans une procédure de droit matrimoniale conflictuelle, le conjoint qui a la garde n'accède pas à toutes les demandes de l'autre conjoint, de sorte que l'on ne saurait fonder un vice de la volonté sur un tel refus, même accompagné d'un déclaration s'appropriant un pouvoir de décision. La fixation d'un droit de visite à défaut d'entente a précisément pour but de limiter la prise de pouvoir que dénonce l'appelant. L'appel doit en conséquence être rejeté.</w:t>
      </w:r>
    </w:p>
    <w:p>
      <w:r>
        <w:rPr>
          <w:b/>
        </w:rPr>
        <w:t>E. 4</w:t>
      </w:r>
    </w:p>
    <w:p>
      <w:r>
        <w:t>En conclusion, l'appel doit être rejeté en application de l'art.  312 al. 1 CPC et le prononcé confirmé. Vu le rejet de l'appel, les frais judiciaires de deuxième instance, arrêtés à 600 fr. (art. 65 al. 2 TFJC [tarif du 28 septembre 2010 des frais judiciaires civils; RSV 270.11.5), sont mis à la charge de l'appelant (art. 106 al. 1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A.W.________. IV. L'arrêt motivé est exécutoire. Le juge délégué : Le greffier : Du 10 août 2012 Le dispositif de l'arrêt qui précède est communiqué par écrit aux intéressés. Le greffier : Du L'arrêt qui précède, dont la rédaction a été approuvée à huis clos, est notifié en expédition complète, par l'envoi de photocopies, à : ‑ Me Robert Ayrton (pour A.W.________), ‑ Me Anne-Luce Julsaint Buonomo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