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549 vom 30. August 2012</w:t>
      </w:r>
    </w:p>
    <w:p>
      <w:r>
        <w:t>VD Tribunal cantonal, 2012-08-30, FR</w:t>
      </w:r>
    </w:p>
    <w:p>
      <w:r>
        <w:rPr>
          <w:b/>
        </w:rPr>
        <w:t xml:space="preserve">Quelle: </w:t>
      </w:r>
      <w:r>
        <w:t>https://mcp.opencaselaw.ch/entscheid/vd_findinfo_HC___2012___549</w:t>
      </w:r>
    </w:p>
    <w:p>
      <w:r>
        <w:t>FR: VD_FINDINFO HC / 2012 / 549 du 30 août 2012</w:t>
      </w:r>
    </w:p>
    <w:p>
      <w:r>
        <w:t>IT: VD_FINDINFO HC / 2012 / 549 del 30 agosto 2012</w:t>
      </w:r>
    </w:p>
    <w:p>
      <w:pPr>
        <w:pStyle w:val="Heading2"/>
      </w:pPr>
      <w:r>
        <w:t>Regeste</w:t>
      </w:r>
    </w:p>
    <w:p>
      <w:r>
        <w:t>ASSISTANCE JUDICIAIRE, FORTUNE, FORTUNE PRISE EN CONSIDÉRATION, DÉNUEMENT | 117 CPC (CH), 320 let. b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Il en va ainsi de l’extrait de compte bancaire joint au recours.</w:t>
      </w:r>
    </w:p>
    <w:p>
      <w:r>
        <w:rPr>
          <w:b/>
        </w:rPr>
        <w:t>E. 3</w:t>
      </w:r>
    </w:p>
    <w:p>
      <w:r>
        <w:t>a) La recourante se prévaut d’abord d’une constatation manifestement inexacte des faits. Elle soutient que, selon les documents en sa possession, notamment la pièce 9, elle aurait perçu un montant de 188'400 fr. provenant de la vente de la maison familiale de Grandvaux et non 233'400 fr. comme retenu par le premier juge. Elle ajoute que, de toute manière, elle a utilisé ces montants pour compléter la contribution d’entretien qu’elle reçoit de son mari et qu’il ne lui resterait plus que la somme de 20'041 fr. 70. La recourante allègue au surplus qu’elle n’a rien caché de sa situation financière et qu’elle a utilisé ses propres fonds dans le cadre des mesures protectrices de l’union conjugale, mais qu’elle n’est pas en mesure de faire face aux frais du divorce. En définitive, la recourante soutient avoir droit à l’assistance judiciaire. b)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et al.,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 l’appréciation globale de la situation économique du requérant doit se faire selon la situation à la date de la requête (Tappy, in CPC commenté, Bâle 2011, n. 21 ad art. 117 CPC et les réf. citées). Seule compte la situation effective du requérant, indépendamment du fait que d’éventuelles difficultés financières soient ou non dues à la faute de l’intéressé (ATF 104 Ia 31 c. 4). En principe, le revenu mensuel moyen est déterminant, y compris les allocations familiales. Des ressources d’une autre nature, telles que les pensions alimentaires en faveur d’enfants mineurs faisant ménage commun avec le requérant, entrent aussi en considération, pour autant qu’elles puissent réellement être touchées ; des contributions d’entretien dues par un parent ou un conjoint ne devraient donc pas être prises en compte si en pratique elles ne peuvent être recouvrées auprès du débirentier ou avancées par les services étatiques désignés conformément aux art. 131 et 290 CC (Code civil suisse du 10 décembre 1907, RS 210 ; Tappy, op. cit., n. 23 ad art. 117 CPC). La fortune du requérant doit par ailleurs être prise en compte lorsqu’elle est supérieure à une « réserve de secours » variant entre 10'000 et 20'000 fr., voire 25'000 fr. au maximum (TF 5P.375/2006 du 18 décembre 2006 c. 3 ; Tappy, op. cit., n. 25 ad art. 117 CPC ; Emmel, in Kommentar zur Schweizerischen Zivilprozessordnung, Zurich Bâle Genève 2010, n. 7 ad art. 117 CPC). c) En l’espèce, il ressort des pièces au dossier que la recourante a reçu 233'400 fr. sur le produit de vente de la maison familiale de Grandvaux ensuite de l’exécution de l’acte de vente à terme-emption conclu le 2 novembre 2010. En effet, s’il résulte de la pièce invoquée par la recourante qu’elle a perçu la somme de 188'400 fr. jusqu’en décembre 2011, il ressort des pièces 10 et 56 qu’elle a reçu plusieurs acomptes supplémentaires en 2012, représentant un montant de 45'000 fr., de sorte que le montant total retenu par le premier juge est conforme à la réalité et résulte d’une administration correcte des preuves. A cet égard, il n’y a donc aucune constatation inexacte des faits. I.________ allègue certes que la recourante a encaissé davantage que la part à laquelle elle avait droit et lui réclame, au titre de liquidation du régime matrimonial, un montant de 80'000 francs. Toutefois, en l’état, faute d’éléments contraires qui résulteraient du dossier de première instance, on doit considérer, au vu des montants importants qui lui ont été versés au cours des derniers mois au titre de participation au produit de vente de la maison familiale et qui excèdent largement la « réserve de secours » telle que délimitée par la jurisprudence, que la recourante est en mesure d’assumer ses frais de procès et de défense sans l’aide de l’assistance judiciaire. C’est dès lors à juste titre que l’assistance judiciaire lui a été retirée. Au demeurant, on relèvera que l’extrait bancaire produit en deuxième instance, s’il avait été recevable, n’aurait pas eu la valeur probante que la recourante voudrait lui conférer, dès lors qu’il n’établit nullement que sa fortune se limiterait au solde de ce compte bancaire. Mal fondés, le moyen de la recourante, et partant son recours, doivent être rejetés.</w:t>
      </w:r>
    </w:p>
    <w:p>
      <w:r>
        <w:rPr>
          <w:b/>
        </w:rPr>
        <w:t>E. 4</w:t>
      </w:r>
    </w:p>
    <w:p>
      <w:r>
        <w:t>En conclusion, le recours doit être rejeté et le prononcé confirmé. La procédure de recours contre une décision retirant l’assistance judiciaire n’étant pas gratuite (cf. ATF 137 III 470), il y a lieu d’arrêter les frais judiciaires de deuxième instance à 100 fr. (art. 69 al. 1 TFJC [Tarif des frais judiciaires civils du 28 septembre 2010, RSV 270.11.5]) et de mettre ceux-ci à la charge de la recourante qui succombe (art. 106 al. 1 CPC). Aucune détermination n’ayant été demandée sur le recours, il n’y a pas matière à l’allocation de dépens de deuxième instance. Par ces motifs, la Chambre des recours civile du Tribunal cantonal, statuant à huis clos, prononce : I. Le recours est rejeté. II. Le prononcé est confirmé. III. Les frais judiciaires de deuxième instance, arrêtés à 100 fr. (cent francs), sont mis à la charge de la recourante R.________. IV. L’arrêt motivé est exécutoire. Le président : Le greffier : Du 30 août 2012 Le dispositif de l'arrêt qui précède est communiqué par écrit aux intéressés. Le greffier : Du L'arrêt qui précède, dont la rédaction a été approuvée à huis clos, est notifié en expédition complète, par l'envoi de photocopies, à : ‑ Me Marguerite Florio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