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545 vom 18. Juni 2012</w:t>
      </w:r>
    </w:p>
    <w:p>
      <w:r>
        <w:t>VD Tribunal cantonal, 2012-06-18, FR</w:t>
      </w:r>
    </w:p>
    <w:p>
      <w:r>
        <w:rPr>
          <w:b/>
        </w:rPr>
        <w:t xml:space="preserve">Quelle: </w:t>
      </w:r>
      <w:r>
        <w:t>https://mcp.opencaselaw.ch/entscheid/vd_findinfo_HC___2012___545</w:t>
      </w:r>
    </w:p>
    <w:p>
      <w:r>
        <w:t>FR: VD_FINDINFO HC / 2012 / 545 du 18 juin 2012</w:t>
      </w:r>
    </w:p>
    <w:p>
      <w:r>
        <w:t>IT: VD_FINDINFO HC / 2012 / 545 del 18 giugno 2012</w:t>
      </w:r>
    </w:p>
    <w:p>
      <w:pPr>
        <w:pStyle w:val="Heading2"/>
      </w:pPr>
      <w:r>
        <w:t>Regeste</w:t>
      </w:r>
    </w:p>
    <w:p>
      <w:r>
        <w:t>, DROIT À UN DÉFENSEUR, INTERPRÈTE, ASSISTANCE JUDICIAIRE, NOTIFICATION DE LA DÉCISION, MOTIVATION DE LA DÉCISION, INDICATION DES VOIES DE DROIT, ASSISTANCE JUDICIAIRE, DÉNUEMENT, FARDEAU DE LA PREUVE, NOUVEAU MOYEN DE PREUVE | 117 CPC (CH), 326 al. 1 CPC (CH)</w:t>
      </w:r>
    </w:p>
    <w:p>
      <w:pPr>
        <w:pStyle w:val="Heading2"/>
      </w:pPr>
      <w:r>
        <w:t>Erwägungen</w:t>
      </w:r>
    </w:p>
    <w:p>
      <w:r>
        <w:rPr>
          <w:b/>
        </w:rPr>
        <w:t>E. 1</w:t>
      </w:r>
    </w:p>
    <w:p>
      <w:r>
        <w:t>La voie du recours de l'art. 319 let. b ch. 1 CPC (Code de procédure civile du 19 décembre 2008; RS 272) est ouverte contre les décisions refusant l'assistance judiciaire (art. 121 CPC). Le recours, interjeté en temps utile, est ainsi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Dans le cadre de la procédure de recours, les conclusions, les allégations de fait et les preuves nouvelles sont irrecevables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le CPC ne contenant aucune disposition spéciale concernant la production de pièces en deuxième instance en matière d'assistance judiciaire (art. 326 al. 2 CPC). En l'espèce, les pièces produites en deuxième instance sont recevables, dès lors qu'elles figurent déjà au dossier de première instance.</w:t>
      </w:r>
    </w:p>
    <w:p>
      <w:r>
        <w:rPr>
          <w:b/>
        </w:rPr>
        <w:t>E. 3</w:t>
      </w:r>
    </w:p>
    <w:p>
      <w:r>
        <w:t>Le recourant fait valoir qu'il a produit la décision de taxation fiscale le concernant, une attestation de l'office des poursuites, ainsi que le relevé de son compte bancaire et qu'il a déclaré réaliser un revenu de 2'500 fr. par mois, ce qui n'est selon lui pas contradictoire avec les éléments figurant dans ces documents. Il expose qu'en qualité d'indépendant, il n'est pas en mesure de produire des fiches de salaire et qu'il ne dispose d'aucun autre compte bancaire ou postal que celui dont il a produit le relevé. Il soutient que ses revenus ne lui permettent pas de couvrir les charges modestes qu'il a fait valoir dans sa demande, qu'il n'a pas de charge de loyer étant hébergé par [...] et que ses charges de prime d'assurance-maladie et de contribution d'entretien sont établies. Il relève que l'extrait de l'office des poursuites démontre que sa situation financière est particulièrement difficile.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a) Selon la jurisprudence,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op. cit., nn. 17 ss ad art. 64 LTF, pp. 456 ss). Savoir quels critères il faut prendre en considération pour admettre l'indigence relève du droit; la détermination des actifs et passifs relève en revanche du fait (ATF 120 Ia 179). Il incombe donc au requérant de prouver les faits qui permettent de constater son indigence (Corboz, op. cit., n. 20 ad art. 64 LTF, p. 457). C'est la situation financière dans son ensemble qui compte, soit d'une part la totalité des revenus (gains accessoires compris), la fortune, les éventuelles créances contre des tiers et, d'autre part, les charges d'entretien et les engagements financiers auxquels le requérant ne peut échapper. S'agissant de la notion de ressources suffisantes au sens de l'art. 29 al. 3 Cst. et, partant, de l'art. 117 CPC, le Tribunal fédéral a précisé que cette notion ne se recoupe pas entièrement avec celle du minimum vital du droit des poursuites en ce sens qu'il n'y a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au montant de base afin d'atténuer la rigueur de ces normes (Corboz, op. cit., n. 26 ad art. 64 LTF, p. 459; Rüegg, Basler Kommentar, 2010, n. 12 ad art. 117 CPC, pp. 599-600; Emmel, Kommentar zur Schweizerischen Zivilprozess-ordnung, Sutter-Somm/Hasenböhler/Leuenberger Hrsg, 2010 [ci-après : Kommentar ZPO], n. 10 ad art. 117 CPC, p. 811). On tiendra en outre compte des primes d'assurances obligatoires ou usuelles ainsi que de la charge fiscale, pour autant que ces sommes soient plus ou moins régulièrement payées (Corboz, ibid.). Le Tribunal fédéral considère qu'il appartient en principe au requérant d'établir les éléments nécessaires pour établir le bien-fondé de sa requête. Une vraisemblance peut parfois suffire, mais si la situation reste non éclaircie ou si l'intéressé se dérobe devant son devoir de fournir des renseignements, l'assistance sera refusée (ATF 125 IV 161, JT 2001 IV 93). Dans le cadre des art. 117 ss CPC, les art. 132 ou 56 CPC sont toutefois applicables et la juridiction compétente devra au besoin accorder un délai au requérant pour parfaire une requête incomplète ou l'interpeller sur d'éventuelles lacunes ou imprécisions (Tappy, CPC commenté, 2011, n. 7 ad art. 119 CPC). En l'espèce, il y a lieu de considérer que les pièces produites par le recourant à l'appui de sa demande établissent suffisamment qu'il ne dispose pas de ressources suffisantes pour assumer les frais de la procédure : sa situation est totalement obérée et ses revenus sont modestes au vu de la décision de taxation fiscale. Le fait que cette décision ait fait suite à une taxation d'office ne permet pas de l'écarter, le montant retenu apparaissant vraisemblable dès lors que le recourant admet réaliser un revenu de 2'500 fr. par mois, ce qui correspond, à 5'000 francs près, aux revenus annuels retenus par l'autorité fiscale. S'agissant d'un indépendant, on ne voit pas en quoi des fiches de salaire, que le recourant aurait dû établir lui-même, seraient plus à même d'établir ses revenus. En définitive il y a lieu de considérer que les pièces produites établissent que la condition posée à l'art. 117 let. a CPC est réalisée et le recours doit être admis sur ce point. b) Dès lors que l'on se trouve dans un procès de droit de la famille, il y a lieu de considérer que celui-ci n'est pas dénué de chances de succès au sens de l'art. 117 let. b CPC. De même, les droits du recourant exigent au sens de l'art. 118 al. 1 let. c CPC l'assistance d'un mandataire professionnel, la cause pouvant s'avérer complexe d'une part, et la partie adverse étant elle-même assistée d'autre part. L'assistance judiciaire doit en conséquence être accordée au recourant avec effet à la date de sa demande, soit le 17 février 2012, le recourant ne justifiant aucunement l'octroi d'un effet rétroactif au 31 janvier 2012. Dans sa demande, le recourant déclare accepter de rembourser les frais du procès avancés par l'Etat à concurrence de 50 fr. par mois. Il y a lieu de s'en tenir à cette proposition</w:t>
      </w:r>
    </w:p>
    <w:p>
      <w:r>
        <w:rPr>
          <w:b/>
        </w:rPr>
        <w:t>E. 4</w:t>
      </w:r>
    </w:p>
    <w:p>
      <w:r>
        <w:t>a) En conclusion, le recours doit être admis et l'assistance judiciaire accordée au recourant pour le procès en modification de jugement de divorce le divisant d'avec B.________, le recourant devant payer une franchise de 50 fr. par mois dès le 1 er juillet 2012. Vu l'issue du recours, les frais judiciaires de deuxième instance, arrêtés à 100 fr. (art. 69 al. 1 et 70 al. 3 TFJC [tarif du 28 septembre 2010 des frais judiciaires civils; RSV 270.11.5), sont laissés à la charge de l'Etat (art. 107 al. 2 CPC). Le dispositif envoyé aux parties le 19 juin 2012 comporte une erreur de plume en ce sens qu'il fait débuter l'obligation de paiement de la franchise au 1 er juillet 2011, alors que la demande date du 17 février 2012. Il convient de rectifier cette erreur en application de l'art. 334 CPC. Par ces motifs, la Chambre des recours civile du Tribunal cantonal, statuant à huis clos, prononce : I. Le recours est admis. II. Il est statué à nouveau comme il suit : a) accorde à K.________ le bénéfice de l'assistance judiciaire dans la cause en modification du jugement de divorce avec effet au 17 février 2012. b) dit que le bénéfice de l'assistance judiciaire est accordé dans la mesure suivante : - exonération d'avances ; - exonération des frais judiciaires ; - assistance d'office d'un avocat en la personne de Me Sébastien Pedroli, avocat à Lausanne. c) dit qu'K.________ paiera une franchise mensuelle de 50 francs dès et y compris le 1 er juillet 2012, à verser auprès du Service juridique et législatif, Secteur recouvrement, Lausanne. III. Les frais judiciaires de deuxième instance, arrêtés à 100 fr. (cent francs), sont mis à la charge de l'Etat. IV. L'arrêt motivé est exécutoire. Le président :               Le greffier : Du 19 juin 2012 Le dispositif de l'arrêt qui précède est communiqué par écrit aux intéressés. Le greffier : Du L'arrêt qui précède, dont la rédaction a été approuvée à huis clos, est notifié en expédition complète, par l'envoi de photocopies, à : ‑ Me Sébastien Pedroli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