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542 vom 8. August 2012</w:t>
      </w:r>
    </w:p>
    <w:p>
      <w:r>
        <w:t>VD Tribunal cantonal, 2012-08-08, FR</w:t>
      </w:r>
    </w:p>
    <w:p>
      <w:r>
        <w:rPr>
          <w:b/>
        </w:rPr>
        <w:t xml:space="preserve">Quelle: </w:t>
      </w:r>
      <w:r>
        <w:t>https://mcp.opencaselaw.ch/entscheid/vd_findinfo_HC___2012___542</w:t>
      </w:r>
    </w:p>
    <w:p>
      <w:r>
        <w:t>FR: VD_FINDINFO HC / 2012 / 542 du 8 août 2012</w:t>
      </w:r>
    </w:p>
    <w:p>
      <w:r>
        <w:t>IT: VD_FINDINFO HC / 2012 / 542 del 8 agosto 2012</w:t>
      </w:r>
    </w:p>
    <w:p>
      <w:pPr>
        <w:pStyle w:val="Heading2"/>
      </w:pPr>
      <w:r>
        <w:t>Regeste</w:t>
      </w:r>
    </w:p>
    <w:p>
      <w:r>
        <w:t>FRAIS JUDICIAIRES, ACTION EN MODIFICATION, JUGEMENT DE DIVORCE | 284 al. 3 CPC (CH), 291 CPC (CH), 95 al. 1 CPC (CH), 54 TFJC (2010)</w:t>
      </w:r>
    </w:p>
    <w:p>
      <w:pPr>
        <w:pStyle w:val="Heading2"/>
      </w:pPr>
      <w:r>
        <w:t>Erwägungen</w:t>
      </w:r>
    </w:p>
    <w:p>
      <w:r>
        <w:rPr>
          <w:b/>
        </w:rPr>
        <w:t>E. 1</w:t>
      </w:r>
    </w:p>
    <w:p>
      <w:r>
        <w:t>L'art. 319 let. b ch. 1 CPC (Code de procédure civile du 19 décembre 2008; RS 272) ouvre la voie du recours contre les décisions et ordonnances d'instruction de première instance pour lesquelles un recours est expressément prévu par la loi. Tel est le cas en l'espèce, le recours étant ouvert contre la décision sur les frais, qui ne peut être attaquée séparément que par un recours (art. 110 CPC). La décision entreprise a été rendue dans le cadre de la procédure de divorce, par renvoi de l'art. 284 al. 3 CPC; le délai de recours est ainsi de trente jours (art. 321 al. 1 CPC). Motivé et déposé en temps utile par un justiciable qui y a un intérêt (art. 59 al. 2 let. a CPC), le recours est formellement recevable.</w:t>
      </w:r>
    </w:p>
    <w:p>
      <w:r>
        <w:rPr>
          <w:b/>
        </w:rPr>
        <w:t>E. 2</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lI, 2 ème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(Jeandin, CPC commenté, Bâle 2011, nn. 5 et 6 ad art. 320 CPC;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CPC). Le jugement du 25 août 2009, dont la modification était demandée, avait été rendu dans la procédure de requête commune en divorce avec accord complet et il en avait coûté 410 fr. par partie, soit 820 fr. au total. Actuellement, l'émolument forfaitaire pour une telle procédure serait de 900 fr. (art. 53 TFJC). L'émolument de 3'000 fr. perçu pour statuer sur la réduction d'une pension alimentaire versée en faveur d'un enfant de 800 fr. à 580 fr. apparaît ainsi comme disproportionné. En outre, la procédure telle qu'elle est prévue à l'art. 291 CPC en cas de demande unilatérale de divorce n'est manifestement pas adaptée à un procès en modification de divorce. D'une part, la demande de modification sera en principe déjà motivée et, d'autre part, le juge n'aura pas à "vérifier l'existence du motif de divorce" ni à rechercher "si le motif de divorce est avéré" lors de l'audience de conciliation prévue par cette disposition. Le délai fixé au demandeur pour déposer une motivation écrite, selon l'art. 291 al. 3 CPC (cf. Tappy, op. cit., n. 23 à 26 ad art. 291 CPC, pp. 1181-1182), est ainsi inutile dans le cas d'espèce. Enfin, après le dépôt du mémoire de motivation par la demanderesse, le premier juge n'a pas fixé de délai au défendeur pour déposer une écriture, comme il y était pourtant tenu (Tappy, ibidem, n. 32 ad art. 291 CPC, p. 1183), se contentant de citer directement les parties à l'audience de jugement. Dans ces conditions, il convient d'appliquer l'art. 54 al. 2 let. a TFJC et de considérer que le jugement a pu être rendu à l'issue de la première audience, d'autant plus que la précédente était consacrée prioritairement à la requête de mesures provisionnelles déposée par X.________, le même jour que sa demande en modification de jugement de divorce. Partant, l'émolument doit être réduit à 1'500 fr., auquel s'ajoute l'émolument de 400 fr. pour les mesures provisionnelles (art. 61 al. 1 TFJC), puisqu'il a été fait application, dans l'ordonnance de mesures provisionnelles du 21 novembre 2011, de l'art. 104 al. 3 CPC (chiffre III du dispositif). L'émolument global doit ainsi être fixé à 1'900 francs. Compte tenu de ce qui précède, le recours doit être admis sur ce point.</w:t>
      </w:r>
    </w:p>
    <w:p>
      <w:r>
        <w:rPr>
          <w:b/>
        </w:rPr>
        <w:t>E. 4</w:t>
      </w:r>
    </w:p>
    <w:p>
      <w:r>
        <w:t>En conclusion, le recours doit être partiellement admis et le chiffre III du dispositif du jugement attaqué réformé en ce sens que les frais de justice, arrêtés à 1'900 fr., sont mis à la charge du défendeur, le jugement étant confirmé pour le surplus. Les frais de deuxième instance, arrêtés à 200 fr. (art. 69 al. 1 TFJC), sont mis par moitié à la charge du recourant qui obtient partiellement gain de cause et sont laissés pour le reste à la charge de l'Etat (art. 106 al. 2 et 107 al. 1 let. c CPC). Dès lors que l'intimée a déclaré s'en remettre à justice et que le recourant n'a pas obtenu entièrement gain de cause, il n'y a pas lieu d'allouer de dépens. Par ces motifs, la Chambre des recours civile du Tribunal cantonal, statuant à huis clos, prononce : I. Le recours est admis partiellement. II. Le chiffre III du dispositif du jugement est réformé en ce sens que les frais de justice arrêtés à 1'900 fr. (mille neuf cents francs), sont mis à la charge du défendeur R.________, le jugement étant confirmé pour le surplus. III. Il n'est pas alloué de dépens. IV. Les frais judiciaires de deuxième instance, arrêtés à 200 fr. (deux cents francs), sont mis par moitié à la charge du recourant R.________ et sont laissés pour le reste à la charge de l'Etat. V. L'arrêt motivé est exécutoire. Le président :               Le greffier : Du</w:t>
      </w:r>
    </w:p>
    <w:p>
      <w:r>
        <w:rPr>
          <w:b/>
        </w:rPr>
        <w:t>E. 9</w:t>
      </w:r>
    </w:p>
    <w:p>
      <w:r>
        <w:t>août 2012 Le dispositif de l'arrêt qui précède est communiqué par écrit aux intéressés. Le greffier : Du L'arrêt qui précède, dont la rédaction a été approuvée à huis clos, est notifié en expédition complète, par l'envoi de photocopies, à : ‑ M. R.________, ‑ Me Sandrine Chiavazza (pour X.________). La Chambre des recours civile considère que la valeur litigieuse est de 3'500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