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529 vom 21. August 2012</w:t>
      </w:r>
    </w:p>
    <w:p>
      <w:r>
        <w:t>VD Tribunal cantonal, 2012-08-21, FR</w:t>
      </w:r>
    </w:p>
    <w:p>
      <w:r>
        <w:rPr>
          <w:b/>
        </w:rPr>
        <w:t xml:space="preserve">Quelle: </w:t>
      </w:r>
      <w:r>
        <w:t>https://mcp.opencaselaw.ch/entscheid/vd_findinfo_HC___2012___529</w:t>
      </w:r>
    </w:p>
    <w:p>
      <w:r>
        <w:t>FR: VD_FINDINFO HC / 2012 / 529 du 21 août 2012</w:t>
      </w:r>
    </w:p>
    <w:p>
      <w:r>
        <w:t>IT: VD_FINDINFO HC / 2012 / 529 del 21 agosto 2012</w:t>
      </w:r>
    </w:p>
    <w:p>
      <w:pPr>
        <w:pStyle w:val="Heading2"/>
      </w:pPr>
      <w:r>
        <w:t>Regeste</w:t>
      </w:r>
    </w:p>
    <w:p>
      <w:r>
        <w:t>HONORAIRES, AVOCAT D'OFFICE, MODÉRATION | 122 al. 1 let. a CPC (CH), 2 al. 1 RAJ</w:t>
      </w:r>
    </w:p>
    <w:p>
      <w:pPr>
        <w:pStyle w:val="Heading2"/>
      </w:pPr>
      <w:r>
        <w:t>Erwägungen</w:t>
      </w:r>
    </w:p>
    <w:p>
      <w:r>
        <w:rPr>
          <w:b/>
        </w:rPr>
        <w:t>E. 1</w:t>
      </w:r>
    </w:p>
    <w:p>
      <w:r>
        <w:t>A teneur de l’art. 319 let. b ch. 1 CPC, le recours est recevable contre les autres décisions et ordonnances d’instruction de première instance dans les cas prévus par la loi. En l’espèce, le litige porte sur le montant de l’indemnité allouée au conseil d’office. La question de la rémunération du conseil juridique commis d’office est réglée par l’art. 122 CPC, qui ne fait que consacrer certaines règles particulières, liées à l’assistance judiciaire accordée à une partie, de la liquidation des frais, de sorte que les voies de droit applicables sont celles de l’art. 110 CPC (Tappy, in CPC commenté, Bâle 2011, n. 21 ad art. 122 CPC). Cette disposition prévoyant que la décision sur les frais ne peut être attaquée séparément que par un recours, c’est cette voie de droit qui est ouverte. La rémunération du conseil juridique commis d’office est réglée par l’art. 122 CPC, figurant au chapitre qui réglemente l’assistance judiciaire et qui comprend les art. 117 à 123 CPC. En appliquant par analogie l’art. 119 al. 3 CPC, lequel prévoit la procédure sommaire lorsque le tribunal statue sur la requête d’assistance judiciaire, on en déduit que dite procédure est applicable par analogie lorsque le tribunal statue sur l’indemnité du conseil d’office. Dès lors, le recours doit s’exercer dans les dix jours (art. 321 aI. 2 CPC). En l’espèce, le prononcé attaqué a été rendu le 14 juin 2012, de sorte que le recours, déposé le 22 juin 2012, a été déposé en temps utile. Le prononcé du 14 juin 2012, qui indiquait par erreur qu’il était adressé à Me [...] au lieu de Me I.________, a certes été annulé pour le bon ordre des dossiers de chaque partie et remplacé par le prononcé du 26 juin 2012 ; cela n’a toutefois pas fait courir un nouveau délai, puisque le premier prononcé avait bien été notifié aux intéressés. Etant, selon l’art. 123 al. 1 CPC, tenu de rembourser l’assistance judiciaire dès qu’il est en mesure de le faire, le bénéficiaire de l’assistance judiciaire dispose à titre personnel d’un droit de recours contre la rémunération équitable de son conseil juridique commis d’office accordée selon l’art. 122 al. 1 let. a CPC (Tappy, op. cit., n. 22 ad art. 122 CPC). Le recourant a donc un intérêt digne de protection à recourir (art. 59 al. 2 let. a CPC). Motivé et déposé en temps utile par un justiciable qui y a intérêt, le recours est donc recevable à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 A teneur de l’art. 326 al. 1 CPC, les pièces nouvelles produites en deuxième instance sont irrecevables. Il n’a donc pas été tenu compte des pièces produites qui ne figuraient pas au dossier de première instance.</w:t>
      </w:r>
    </w:p>
    <w:p>
      <w:r>
        <w:rPr>
          <w:b/>
        </w:rPr>
        <w:t>E. 3</w:t>
      </w:r>
    </w:p>
    <w:p>
      <w:r>
        <w:t>a) Le recourant conteste le temps consacré par son mandataire, tel que retenu par le premier juge. Pour ce faire, il détaille les opérations effectuées par l’intimé entre le 22 novembre 2011 et le 15 mars 2012 et chiffre à trois heures le temps nécessaire à ces opérations. b) Aux termes de l’art. 122 al. 1 let. a CPC, le conseil juridique commis d’office est rémunéré équitablement par le canton. L’avocat d’office a droit au remboursement intégral de ses débours s’inscrivant dans le cadre de l’accomplissement normal de sa tâche, plus à une indemnité s’apparentant aux honoraires d’un avocat de choix, mais qui peut être inférieure à ces honoraires (ATF 122 I 1 c. 3a ; ATF 117 la 22 c. 4a ; TF 6B_745/2009 du 12 novembre 2009 c. 10.1 ; TF 6B_273/2009 du 2 juillet 2009 c. 2.1 ; TF 6B_960/2008 du 22 janvier 2009 c. 1.1 ; TF 6B_947/2008 du 16 janvier 2009 c. 2 ; Tappy, op. cit., n. 8 ad art. 122 CPC). L’indemnité doit non seulement couvrir les frais généraux de l’avocat, mais aussi lui permettre de réaliser un gain modeste et non seulement symbolique (ATF 132 I 201 c. 8.6). Selon la jurisprudence constante du Tribunal fédéral, l’autorité, pour déterminer la quotité de l’indemnité, doit tenir compte de la nature et de l’importance de la cause, des difficultés particulières qu’elle peut présenter en fait et en droit, du temps que le conseil d’office y a consacré et de la qualité de son travail, du nombre de conférences, d’audiences et d’instances auxquelles il a pris part, du résultat obtenu et, enfin, de la responsabilité qu’il a assumée (ATF 109 la 107 c. 3b ; ATF 117 la 22 c. 3a ; TF 6B_745/2009 du 12 novembre 2009 c. 10.1 ; TF 6B_273/2009 du 2 juillet 2009 c. 2.1 ; TF 6B_102/2009 du 14 avril 2009 c. 2 ; TF 6B_960/2008 du 22 janvier 2009 c. 1.1 ; TF 6B_947/2008 du 16 janvier 2009 c. 2). Dans le canton de Vaud, l’art. 2 al. 1 RAJ (Règlement du 7 décembre 2010 sur l’assistance judiciaire en matière civile,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 stagiaire.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 ATF 117 la 22 c.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du bénéficiaire de l’assistance judiciaire ou qui consistent en un soutien moral (TF 5P_462/2002 du 30 janvier 2003 ; Pdt TC 23 juillet 2001/37) ; l’avocat doit toutefois bénéficier d’une marge d’appréciation suffisante pour déterminer l’importance du travail qu’exige l’affaire. c) En l’espèce, si l’on compare les opérations effectuées par l’intimé, telles que ressortant de la liste complète des opérations qu’il a produite le 29 mai 2012 – sur laquelle s’est fondé le premier juge –, avec celles alléguées par le recourant à l’appui de son recours, on constate que ces dernières correspondent pour l’essentiel à celles retranscrites par l’avocat. En ce qui concerne en particulier l’entretien du 22 novembre 2011, l’avocat a comptabilisé une heure d’entretien (180 fr.), lors même que le recourant fait état d’un entretien d’une heure et vingt-cinq minutes, soit une différence en sa faveur de 75 fr., ce qui permettrait, le cas échéant, de compenser les rubriques « entretien téléphonique amie de client » du 16 novembre 2011 (15 fr.) et « entretien téléphonique client » des 28 novembre 2011 (15 fr.) et 7 décembre 2011 (15 fr.), qui ne sont pas citées par le recourant, à supposer que l’on admette l’inexistence de tels entretiens. Pour le surplus, au regard des opérations retenues par le premier juge en lien avec la liste des opérations du 29 mai 2012, le temps consacré au dossier paraît adéquat, sauf en ce qui concerne la rubrique « opérations de clôture », facturée à raison d’une heure de travail, ce qui paraît excessif, compte tenu de la faible ampleur du dossier. Cela étant, il convient de retenir que ce poste a nécessité un quart d’heure de travail au lieu d’une heure. Cela étant, il y a lieu de réduire le nombre d’heures consacrées au dossier à quatre heures et dix minutes. Il en découle que les honoraires de l’avocat doivent être arrêtés à 810 fr., TVA incluse. A ce montant, s’ajoutent les débours annoncés et non contestés par 83 fr. 20, TVA comprise. Aussi, l’indemnité d’office de l’intimé doit être fixée à 893 fr. 20, TVA et débours compris.</w:t>
      </w:r>
    </w:p>
    <w:p>
      <w:r>
        <w:rPr>
          <w:b/>
        </w:rPr>
        <w:t>E. 4</w:t>
      </w:r>
    </w:p>
    <w:p>
      <w:r>
        <w:t>En conclusion, le recours doit être partiellement admis et le prononcé réformé en ce sens que l’indemnité d’office de l’intimé, conseil du recourant, est fixée à 893 fr. 20, TVA et débours compris, pour la période du 16 novembre 2011 au 29 mai 2012. Vu l’issue du litige, les frais judiciaires de deuxième instance, arrêtés à 150 fr. (art. 75 TFJC [Tarif des frais judiciaires civils du 28 septembre 2010, RSV 270.11.5] par analogie), doivent être mis pour moitié à la charge de chaque partie (art. 106 al. 2 CPC). L’intimé versera ainsi au recourant la somme de 75 fr. à titre de restitution partielle de l’avance de frais fournie par ce dernier (art. 111 al. 2 CPC). Il n’est pas alloué de dépens au recourant, qui n’a pas recouru par l’intermédiaire d’un mandataire professionnel. Par ces motifs, la Chambre des recours civile du Tribunal cantonal, statuant à huis clos, prononce : I. Le recours est partiellement admis. II. Le prononcé est réformé au chiffre I de son dispositif en ce sens que l’indemnité d’office de Me I.________, conseil de R.________, est fixée à 893 fr. 20 (huit cent nonante-trois francs et vingt centimes), TVA et débours compris, pour la période du 16 novembre 2011 au 29 mai 2012. Le prononcé est confirmé pour le surplus. III. Les frais judiciaires de deuxième instance, arrêtés à 150 fr. (cent cinquante francs), sont mis à la charge du recourant par 75 fr. (septante-cinq francs) et de l’intimé par 75 fr. (septante-cinq francs). IV. L’intimé Me I.________ doit verser au recourant R.________ la somme de 75 fr. (septante-cinq francs) à titre de restitution d’avance de frais de deuxième instance. V. L’arrêt motivé est exécutoire. Le président : Le greffier : Du 22 août 2012 Le dispositif de l'arrêt qui précède est communiqué par écrit aux intéressés. Le greffier : Du L'arrêt qui précède, dont la rédaction a été approuvée à huis clos, est notifié en expédition complète, par l'envoi de photocopies, à : ‑ M. R.________ ‑ Me I.________ La Chambre des recours civile considère que la valeur litigieuse est inférieure à 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