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525 vom 14. Juni 2012</w:t>
      </w:r>
    </w:p>
    <w:p>
      <w:r>
        <w:t>VD Tribunal cantonal, 2012-06-14, FR</w:t>
      </w:r>
    </w:p>
    <w:p>
      <w:r>
        <w:rPr>
          <w:b/>
        </w:rPr>
        <w:t xml:space="preserve">Quelle: </w:t>
      </w:r>
      <w:r>
        <w:t>https://mcp.opencaselaw.ch/entscheid/vd_findinfo_HC___2012___525</w:t>
      </w:r>
    </w:p>
    <w:p>
      <w:r>
        <w:t>FR: VD_FINDINFO HC / 2012 / 525 du 14 juin 2012</w:t>
      </w:r>
    </w:p>
    <w:p>
      <w:r>
        <w:t>IT: VD_FINDINFO HC / 2012 / 525 del 14 giugno 2012</w:t>
      </w:r>
    </w:p>
    <w:p>
      <w:pPr>
        <w:pStyle w:val="Heading2"/>
      </w:pPr>
      <w:r>
        <w:t>Regeste</w:t>
      </w:r>
    </w:p>
    <w:p>
      <w:r>
        <w:t>BAIL À LOYER, RÉSILIATION ABUSIVE, PROTECTION CONTRE LES CONGÉS, ANNULABILITÉ, RÉSILIATION | 271a al. 1 let. e CO, 271a al. 3 let. a CO, 308 CPC (CH), 317 CPC (CH)</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En l'espèce, le loyer mensuel s'élève à 1'072 fr., de sorte que la limite de 10'000 fr. fixée par l'art. 308 al. 2 CPC est sans conteste atteinte. La voie de l'appel est dès lors ouverte. b) Le jugement attaqué a été rendu sous forme d’un dispositif le 20 octobre 2011 et notifié aux parties avec la motivation le 13 janvier 2012. Le recours dûment motivé interjeté le 13 février 2012 a été déposé dans le délai de trente jours (art. 311 al. 2 CPC), soit en temps utile, par une partie qui y a intérêt (art. 59 al. 2 let. a CPC). L’appel est dès lors formellement recevable. L’avis impartissant un délai de 30 jours aux intimés pour déposer leur réponse a été reçu le 28 mars 2011. En raison des féries pascales (art. 145 al. 1 CPC), le délai est arrivé à échéance le 14 mai 2012. Dès lors, la réponse adressée le 9 mai 2012 et reçue au greffe du Tribunal cantonal le 10 mai 2012, a été déposée en temps utile.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 partie qui invoque de tels faits ou produit de telles pièces de démontrer si ces conditions sont réalisées, de sorte qu’elle doit indiquer spécialement de tels faits et preuves nouveaux et motiver spécialement les raisons qui les rendent admissibles selon elle (Tappy, op. cit., JT 2010 III 136-137; JT 2011 III 43 c. 2). La nouvelle pièce produite par les intimés, relative à un fait postérieur à l’audience de jugement, est ainsi recevable.</w:t>
      </w:r>
    </w:p>
    <w:p>
      <w:r>
        <w:rPr>
          <w:b/>
        </w:rPr>
        <w:t>E. 3</w:t>
      </w:r>
    </w:p>
    <w:p>
      <w:r>
        <w:t>let. a CO).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118 II 50 c. 3c et d ; Weber, BSK 4ème éd., n. 28 ad art. 271/271a, p. 1564 et n. 11 ad art. 272 p. 1574). Le juge en décidera après avoir apprécié toutes les circonstances du cas particulier (TF 4C.388/2005 du 20 février 2006 c. 2.3 et les réf. citées). Le bailleur assume le fardeau de la preuve et doit établir l'existence d'un besoin urgent (TF 4A_85/2008 du 12 juin 2008, in CdB I/2009 p. 12 c. 3.1 ; TF 4A_17/2006 du 27 mars 2006, c. 3.1 et les références citées). c/aa) En l’espèce, il convient tout d’abord de relever que les parties ont été divisées par un litige relatif au loyer initial de leur appartement, lequel s’est achevé par un jugement du Tribunal des baux du 16 février 2010, dont la motivation a été notifiée aux parties le 17 janvier 2011, réduisant ledit loyer de 1'600 fr. à 1072 fr. par mois. On se trouve donc dans la situation prévue par l’art. 271a al. 1 let. e ch. 1 CO, soit celle d’un congé donné par le bailleur dans les trois ans à compter de la fin d’une procédure judiciaire au sujet du bail dans laquelle le bailleur a succombé dans une large mesure et qui, partant, est annulable. c/ba) Les premiers juges ont examiné si le besoin urgent qu’invoquait la bailleresse pour l’un de ses proches, à savoir son petit-fils, d’utiliser lui-même les locaux loués était en l’occurrence avéré. Sur la base de l’appréciation des témoignages à laquelle ils ont procédé, ils ont notamment constaté que l’intéressé travaillait déjà auparavant à Lausanne tout en habitant à [...], où il logeait chez ses parents ; le trajet de son lieu de domicile à son travail était convenablement desservi par les transports publics et aucune circonstance nouvelle n’avait été établie qui expliquerait pourquoi son besoin de se reloger serait soudain devenu urgent ; les tensions conjugales entre ses parents existaient depuis longtemps et s’étaient toutefois estompées ces derniers temps, de sorte qu’il n’y avait pas de comparaison avec le cas - dans l’affaire jugée par le Tribunal fédéral (TF 4C.388/2005 du 20.2.06) - de la fille d’un bailleur nécessitant d’être relogée au vu de la situation familiale extrêmement tendue qu’elle vivait alors. Au terme de leur examen, les premiers juges sont arrivés à la conclusion que les moyens invoqués par la demanderesse ne revêtaient pas une importance objectivement suffisante pour tomber, en droit, sous la notion de besoin urgent. Ces moyens apparaissant infondés, il convenait dès lors d’annuler la résiliation litigieuse, en application de l’art. 271a al. 1 let. e ch. 4 (recte : ch. 1) CO. c/bb) Se référant aux divers témoignages des membres de sa famille recueillis devant le Tribunal des baux, qu’elle réinterprète à sa manière, l’appelante soutient que la santé psychique et physique de son petit-fils exigerait qu’il soit éloigné du litige conjugal de ses parents. Il pourrait ainsi préparer au mieux son avenir, en bénéficiant d’un loyer modeste et en emménageant avec son amie. Elle-même pourrait bénéficier de l’aide de son petit-fils. Cela permettrait à son père d’envisager le développement de son entreprise avec l’agrandissement des locaux. Ce faisant, l’appelante ne fait que plaider à nouveau sa cause devant la Cour de céans, sans démontrer en quoi le Tribunal des baux aurait abusé de son pouvoir d’appréciation. Or, comme le relèvent les intimés, il résulte de la chronologie des faits consignés dans le jugement que, lors de la résiliation du bail intervenue peu après le retrait du recours interjeté par l’appelante à l’encontre du jugement du Tribunal des baux du 16 février 2010 et notifié aux parties le 17 janvier 2011, le petit-fils de cette dernière n’avait pas encore exprimé son souhait de se reloger dans l’appartement des intimés, ce qu’il n’a fait que par écriture du 28 avril 2011. L’aide alléguée que ce dernier pourrait apporter à sa grand-mère dans ses tâches ménagères ne repose que sur les témoignages de l’ex-mari, du fils et du petit-fils de l’appelante ; liée au rapprochement du domicile de cette dernière, elle n’est au demeurant guère plausible, l’appartement des intimés se trouvant à l’av. de [...] tandis que l’appelante semble être domiciliée à la rue du [...] selon l’en-tête du mémoire d’appel. Pour ce qui est des tensions entre les parents de l’intéressé, il résulte du témoignage de son père, C.D.________, que les époux ont annulé leur séparation dans l’idée de rester ensemble, nonobstant les difficultés rencontrées. Quant aux perspectives de développement de son entreprise, le prénommé a déclaré qu’aucun projet dans ce sens n’était à l’ordre du jour, que lui-même n’avait pas besoin, pour le moment, du logement de la rue du [...] et que, si d’aventure il devait agrandir son entreprise, il récupérerait le studio loué dans cet immeuble aux deux étudiants qui l’occupent actuellement. L’appelante, propriétaire de plusieurs immeubles, n’avait ainsi pas de raison sérieuse et objective de choisir cet immeuble, qui plus est cet appartement-là en prétextant que les intimés étaient les plus récents locataires pour résilier le bail de ces derniers sitôt après la fin de la précédente procédure devant le Tribunal des baux. Si l’on ajoute à cela que le petit-fils de l’appelante devrait bénéficier d’un loyer préférentiel pendant son apprentissage mais qu’il rembourserait la différence lorsqu’il aurait fini sa formation, soit l’équivalent de 50'000 fr. environ, selon les dires de l’intéressé, le besoin urgent pour lui d’occuper l’appartement de trois pièces, cuisine et terrasse en sus, qu’occupent les intimés n’est pas établi. c/cc) La Cour de céans doit donc considérer, avec les premiers juges, que les motifs invoqués par l’appelante à l’appui de la résiliation de bail litigieuse ne revêtent pas une importance suffisante pour être qualifiés de besoin urgent. Ladite résiliation apparaissant bien plutôt comme un congé-représailles, elle ne saurait être protégée. C’est avec raison que les premiers juges l’ont annulée.</w:t>
      </w:r>
    </w:p>
    <w:p>
      <w:r>
        <w:rPr>
          <w:b/>
        </w:rPr>
        <w:t>E. 4</w:t>
      </w:r>
    </w:p>
    <w:p>
      <w:r>
        <w:t>Au vu de ce qui précède, l’appel doit être rejeté et le jugement attaqué confirmé.</w:t>
      </w:r>
    </w:p>
    <w:p>
      <w:r>
        <w:rPr>
          <w:b/>
        </w:rPr>
        <w:t>E. 5</w:t>
      </w:r>
    </w:p>
    <w:p>
      <w:r>
        <w:t>L’appelante, ayant succombé, supportera les frais judiciaires de deuxième instance fixés à 1'418 fr. (art. 106 al. 1 CPC ; art. 62 al. 1 TFJC [tarif des frais judiciaires civils du 28 septembre 2010, RSV 270.11.5]), et versera aux intimés, solidairement entre eux, la somme de 1'500 fr. à titre de dépens de deuxième instance (art. 37 al. 2 CDPJ [Code de droit privé judiciaire du 12 janvier 2010, RSV 211.02] et art. 3 al. 1 et 2 et</w:t>
      </w:r>
    </w:p>
    <w:p>
      <w:r>
        <w:rPr>
          <w:b/>
        </w:rPr>
        <w:t>E. 7</w:t>
      </w:r>
    </w:p>
    <w:p>
      <w:r>
        <w:t>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