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522 vom 16. August 2012</w:t>
      </w:r>
    </w:p>
    <w:p>
      <w:r>
        <w:t>VD Tribunal cantonal, 2012-08-16, FR</w:t>
      </w:r>
    </w:p>
    <w:p>
      <w:r>
        <w:rPr>
          <w:b/>
        </w:rPr>
        <w:t xml:space="preserve">Quelle: </w:t>
      </w:r>
      <w:r>
        <w:t>https://mcp.opencaselaw.ch/entscheid/vd_findinfo_HC___2012___522</w:t>
      </w:r>
    </w:p>
    <w:p>
      <w:r>
        <w:t>FR: VD_FINDINFO HC / 2012 / 522 du 16 août 2012</w:t>
      </w:r>
    </w:p>
    <w:p>
      <w:r>
        <w:t>IT: VD_FINDINFO HC / 2012 / 522 del 16 agosto 2012</w:t>
      </w:r>
    </w:p>
    <w:p>
      <w:pPr>
        <w:pStyle w:val="Heading2"/>
      </w:pPr>
      <w:r>
        <w:t>Regeste</w:t>
      </w:r>
    </w:p>
    <w:p>
      <w:r>
        <w:t>ASSISTANCE JUDICIAIRE, DÉNUEMENT, CHANCES DE SUCCÈS | 117 CPC (CH)</w:t>
      </w:r>
    </w:p>
    <w:p>
      <w:pPr>
        <w:pStyle w:val="Heading2"/>
      </w:pPr>
      <w:r>
        <w:t>Erwägungen</w:t>
      </w:r>
    </w:p>
    <w:p>
      <w:r>
        <w:rPr>
          <w:b/>
        </w:rPr>
        <w:t>E. 1</w:t>
      </w:r>
    </w:p>
    <w:p>
      <w:r>
        <w:t>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juge de paix (art. 42b al. 1 ch. 2 LVLP [Loi du 18 mai 1955 d’application dans le Canton de Vaud de la loi fédérale sur la poursuite pour dettes et la faillite, RSV 280.05]),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 teneur de l’art. 326 al. 1 CPC, les pièces nouvelles produites en deuxième instance sont irrecevables. Il n’a donc pas été tenu compte des pièces produites qui ne figuraient pas au dossier de première instance, en particulier de la copie du commandement de payer notifié le 19 août 2011 à X.________.</w:t>
      </w:r>
    </w:p>
    <w:p>
      <w:r>
        <w:rPr>
          <w:b/>
        </w:rPr>
        <w:t>E. 3</w:t>
      </w:r>
    </w:p>
    <w:p>
      <w:r>
        <w:t>a) La recourante soutient qu’elle remplit les conditions d’octroi de l’assistance judiciaire et que celle-ci aurait dès lors dû lui être accordée pour la procédure en mainlevée d’opposition qu’elle entend ouvrir à l’encontre de X.________. b) aa)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Bâle 2011, n. 20 ad art. 117 CPC). bb)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op. cit., nn. 17 ss ad art. 64 LTF). Savoir quels critères il faut prendre en considération pour admettre l’indigence relève du droit ; la détermination des actifs et passifs relève en revanche du fait (ATF 120 la 179). lI incombe donc au requérant de prouver les faits qui permettent de constater son indigence (Corboz et alii,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 l’appréciation globale de la situation économique du requérant doit se faire selon la situation à la date de la requête (Tappy, op. cit., n. 21 ad art. 117 CPC et les réf. citées). Seule compte la situation effective du requérant, indépendamment du fait que d’éventuelles difficultés financières soient ou non dues à la faute de l’intéressé (ATF 104 Ia 31 c. 4).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En principe, le revenu mensuel moyen est déterminant, y compris les allocations familiales. Des ressources d’une autre nature, telles que les pensions alimentaires en faveur d’enfants mineurs faisant ménage commun avec le requérant, entrent aussi en considération, pour autant qu’elles puissent réellement être touchées ; des contributions d’entretien dues par un parent ou un conjoint ne devraient donc pas être prises en compte si en pratique elles ne peuvent être recouvrées auprès du débirentier ou avancées par les services étatiques désignés conformément aux art. 131 et 290 CC (Code civil suisse du 10 décembre 1907, RS 210 ; Tappy, op. cit., n. 23 ad art. 117 CPC). La fortune du requérant doit par ailleurs être prise en compte lorsqu’elle est supérieure à une « réserve de secours » variant entre 10'000 et 20'000 fr., voire 25'000 fr. au maximum (TF 5P.375/2006 du 18 décembre 2006 c. 3 ; Tappy, op. cit., n. 25 ad art. 117 CPC ; Emmel, in Kommentar zur Schweizerischen Zivilprozessordnung, Zurich Bâle Genève 2010, n. 7 ad art. 117 CPC). Les charges d’entretien peuvent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et alii, op. cit., n. 26 ad art. 64 LTF ; Rüegg, in Schweizerische Zivilprozessordnung, Bâle 2010, n. 12 ad art. 117 CPC ; Emmel, op. cit., n. 10 ad art. 117 CPC). On tiendra en outre compte des charges de loyer, des primes d’assurances obligatoires ou usuelles ainsi que de la charge fiscale, pour autant que ces sommes soient plus ou moins régulièrement payées (Corboz et alii, ibidem). cc)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n’appartient en effet pas à l’Etat de financer pour une personne indigente un procès qu’un plaideur raisonnable ne soutiendrait pas à ses propres frais (ATF 125 II 265 c. 4b ; ATF 124 I 304 c. 2c ; ATF 122 I 267 c. 2b ; ATF 119 Ia 251 c. 3b ; ATF 119 III 113 c. 3a ; ATF 109 Ia 5 c. 4). Il ne faut toutefois pas se montrer trop sévère dans l’examen des chances de succès du requérant. Il n’est ainsi pas nécessaire pour accorder l’assistance judiciaire qu’une victoire du requérant paraisse probable, ni même plus vraisemblable qu’une défaite ; de même, un procès n’est pas dépourvu de chances de succès lorsque celles-ci et les risques d’échec s’équilibrent à peu près ou lorsque les premières ne sont que légèrement inférieures aux secondes (TF 4A_455/2010 du 20 octobre 2010 ; ATF 133 III 614 c. 5 ; ATF 129 I 129 c. 2.3.1, JT 2005 IV 300 ; sur le tout : Tappy, op. 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 c) En l’espèce, la recourante réalise un revenu mensuel de l’ordre de 4'000 fr. et assume des charges incompressibles de 1'626 fr. 50, qui comprennent son loyer de 900 fr., la prime d’assurance-maladie pour elle-même et pour sa fille par 576 fr. 50 ainsi que le remboursement de dettes à hauteur de 150 fr., auxquelles s’ajoute le montant de base du minimum vital pour elle-même et pour sa fille, majoré de 25 %, qui s’élève à 2'437 fr. 50 ([1'350 fr. + 600 fr.] + 25 %). Le total des charges de la recourante, sans compter le leasing du véhicule dont la nécessité n’a pas été démontrée, se monte ainsi à 4'064 fr. (1'626 fr. 50 + 2'437 fr. 50) et correspond approximativement à son revenu mensuel. Il n’y a par ailleurs pas lieu de prendre en considération la fortune de celle-ci, qui ne constitue qu’une réserve de secours. Il en découle que l’indigence de la recourante est avérée, de sorte que la première condition posée par l’art. 117 CPC est remplie. Reste à examiner si la procédure en mainlevée d’opposition que la recourante entend ouvrir à l’encontre de X.________ est ou non dénuée de chances de succès. Selon l’art. 82 LP (Loi fédérale du 11 avril 1889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Constitue une reconnaissance de dette l’acte authentique ou sous seing privé d’où résulte la volonté du poursuivi de payer au poursuivant, sans réserve ni condition, une somme déterminée, ou aisément déterminable, et échue (Panchaud/Caprez, La mainlevée d’opposition, 2 e éd., Zurich 1980, § 1 ; Gilliéron, Commentaire de la loi fédérale sur la poursuite pour dettes et la faillite, Lausanne 1999, n. 29 ad art. 82 LP ; ATF 132 III 480 c. 4.1, JT 2007 lI 75 ; ATF 130 III 87 c. 3.1, JT 2004 II 118 ; ATF 122 III 125 c. 2, JT 1998 lI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 art. 82 al. 2 LP). En l’espèce, la reconnaissance de dette qui fonderait la mainlevée de l’opposition est un email du 14 juillet 2008 qui ne comporte ni la signature du débiteur, ni la volonté du poursuivi de payer de manière inconditionnelle la somme objet de la poursuite. Elle ne constitue donc pas, prima facie, un titre qui permettrait au juge de la mainlevée de lever l’opposition formée par le poursuivi. En d’autres termes, les perspectives de gain sont, pour la recourante, notablement plus faibles que les risques de succomber dans la procédure tendant à lever l’opposition formée par X.________, au point qu’une personne raisonnable et de condition aisée renoncerait à s’y engager en raison des frais qu’elle s’exposerait à devoir supporter. Il s’ensuit que la deuxième condition posée par l’art. 117 CPC n’est pas remplie. C’est par conséquent à juste titre que le premier juge a refusé à la recourante le bénéfice de l’assistance judiciaire. Mal fondé, le moyen de la recourante doit être rejeté.</w:t>
      </w:r>
    </w:p>
    <w:p>
      <w:r>
        <w:rPr>
          <w:b/>
        </w:rPr>
        <w:t>E. 4</w:t>
      </w:r>
    </w:p>
    <w:p>
      <w:r>
        <w:t>En conclusion, le recours doit être rejeté, en application de l’art. 322 al. 1 CPC, et la décision confirmée. Le recours était d’emblée dépourvu de toute chance de succès, de sorte que le bénéfice de l’assistance judiciaire pour la procédure de deuxième instance doit être refusé à la recourante. La procédure de recours contre une décision refusant l’assistance judiciaire n’étant pas gratuite (ATF 137 III 470), il y a lieu d’arrêter les frais judiciaires de deuxième instance à 100 fr. (art. 69 al. 1 TFJC [Tarif des frais judiciaires civils du 28 septembre 2010, RSV 270.11.5]) et de mettre ceux-ci à la charge de la recourante qui succombe (art. 106 al. 1 CPC). Aucune détermination n’ayant été demandée sur le recours, il n’y a pas lieu d’allouer des dépens de deuxième instance.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100 fr. (cent francs), sont mis à la charge de la recourante R.________. V. L’arrêt motivé est exécutoire. Le président : Le greffier : Du 17 août 2012 Le dispositif de l'arrêt qui précède est communiqué par écrit aux intéressés. Le greffier : Du L'arrêt qui précède, dont la rédaction a été approuvée à huis clos, est notifié en expédition complète, par l'envoi de photocopies, à : ‑ Mme Sabrina Lampo, stagiaire en l’étude de Me Alain Brogli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