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520 vom 20. August 2012</w:t>
      </w:r>
    </w:p>
    <w:p>
      <w:r>
        <w:t>VD Tribunal cantonal, 2012-08-20, FR</w:t>
      </w:r>
    </w:p>
    <w:p>
      <w:r>
        <w:rPr>
          <w:b/>
        </w:rPr>
        <w:t xml:space="preserve">Quelle: </w:t>
      </w:r>
      <w:r>
        <w:t>https://mcp.opencaselaw.ch/entscheid/vd_findinfo_HC___2012___520</w:t>
      </w:r>
    </w:p>
    <w:p>
      <w:r>
        <w:t>FR: VD_FINDINFO HC / 2012 / 520 du 20 août 2012</w:t>
      </w:r>
    </w:p>
    <w:p>
      <w:r>
        <w:t>IT: VD_FINDINFO HC / 2012 / 520 del 20 agosto 2012</w:t>
      </w:r>
    </w:p>
    <w:p>
      <w:pPr>
        <w:pStyle w:val="Heading2"/>
      </w:pPr>
      <w:r>
        <w:t>Regeste</w:t>
      </w:r>
    </w:p>
    <w:p>
      <w:r>
        <w:t>MESURE PROVISIONNELLE, DISSOLUTION DE LA SOCIÉTÉ, SOCIÉTÉ SIMPLE | 101 al. 1 ch. 1 CPC</w:t>
      </w:r>
    </w:p>
    <w:p>
      <w:pPr>
        <w:pStyle w:val="Heading2"/>
      </w:pPr>
      <w:r>
        <w:t>Erwägungen</w:t>
      </w:r>
    </w:p>
    <w:p>
      <w:r>
        <w:rPr>
          <w:b/>
        </w:rPr>
        <w:t>E. 1</w:t>
      </w:r>
    </w:p>
    <w:p>
      <w:r>
        <w:t>a) L’ordonnance attaquée a été rendue le 18 mai 2012, de sorte que les voies de droit sont régies par le CPC (Code de procédure civile suisse du 19 décembre 2008; RS 272), entré en vigueur le 1 er janvier 2011 (art. 405 aI. 1 CPC). En effet, conformément à la jurisprudence du Tribunal fédéral, toutes les décisions de première instance communiquées à partir de 2011 – et non seulement les décisions finales – sont soumises aux voies de droit du nouveau droit, même lorsqu’elles ont été rendues dans le cadre d’une procédure qui se poursuit selon l’ancien droit en vertu de l’art. 404 al. 1 CPC (ATF 137 III 424 c. 2.3). Cela étant, la procédure ayant été ouverte avant le 1 er janvier 2011, le droit de procédure dont la bonne application est contrôlée par l’autorité d’appel est l’ancien droit de procédure cantonal (Tappy, CPC commenté, Bâle 2011, n. 23 ad art. 405 CPC), notamment le CPC-VD (Code de procédure civile vaudoise du 14 décembre 1966). b) L’appel est recevable contre une ordonnance de mesures provisionnelles (art. 308 al. 1 let. b CPC), dans les causes non patrimoniales ou dont la valeur litigieuse est de 10'000 fr. au moins (art. 308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w:t>
      </w:r>
    </w:p>
    <w:p>
      <w:r>
        <w:rPr>
          <w:b/>
        </w:rPr>
        <w:t>E. 3</w:t>
      </w:r>
    </w:p>
    <w:p>
      <w:r>
        <w:t>Aux termes de l’art. 101 aI. 1 ch. 1 CPC-VD, des mesures provisionnelles peuvent être ordonnées en tout état de cause, même avant l’ouverture d’action, en cas d’urgence, pour protéger le possesseur dans ses droits (let. a), pour prévenir tout changement à l’état de l’objet litigieux (let. b), pour écarter la menace d’un dommage difficile à réparer (let. c). Le requérant doit rendre vraisemblable, mais non pas établir, les faits justifiant sa requête et, en conséquence, le droit dont il requiert la protection; quant au juge, il doit se limiter à un examen prima facie ou sommaire, sans préjuger le fond (Poudret/Haldy/Tappy, Procédure civile vaudoise, 3 e éd., Lausanne 2002, n. 1 ad art. 101 CPC-VD, p. 197).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Procédure civile, tome Il, 2 e éd., Berne 2010, n. 1554 ss p. 282 ss).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(ibidem, nn. 1780-1781 p. 326). Des exigences plus strictes sont posées pour les mesures d’exécution anticipée provisoires qui portent une atteinte particulièrement grave à la situation juridique de l’intimé et qui ne peuvent être admises que de façon restrictive (Vogel/Spühler, Grundriss des Zivilprozessrechts, 8 e éd., n. 200 p. 351 et n. 208 p. 354). C’est en particulier le cas lorsque la décision sur la mesure requise est susceptible d’avoir un effet définitif, parce que le litige n’a plus d’intérêt au-delà du stade des mesures provisionnelles (Hohl, op. cit., n. 1844 ss p. 336 ss). Dans de tels cas, les chances de succès du requérant dans la procédure au fond doivent être évaluées soigneusement et proportionnellement au préjudice encouru par le requis (ATF 131 III 473 c.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CPC commenté, Bâle 2011, n. 18 ad art. 261 CPC p. 1021 et les réf. citées). La protection juridique provisoire ne doit ainsi être accordée que lorsque la demande apparaît fondée de manière relativement claire, au vu de l’état de fait rendu vraisemblable (TF 5D_211/2011 du 30 mars 2012).</w:t>
      </w:r>
    </w:p>
    <w:p>
      <w:r>
        <w:rPr>
          <w:b/>
        </w:rPr>
        <w:t>E. 4</w:t>
      </w:r>
    </w:p>
    <w:p>
      <w:r>
        <w:t>Dans le cadre de l'ordonnance de mesures provisionnelles du 9 juin 2011, le premier juge a considéré que la réintégration du requérant dans ses pouvoirs de gestion de son domaine, son libre accès au studio de la villa et le départ de l’intimé du domaine Z.________ étaient des questions qu’il conviendrait de se poser au moment où les rapports juridiques entre les parties seraient « définitivement » qualifiés. Lors même que le magistrat indique, dans l’ordonnance litigieuse, que la qualification des rapports juridiques entre les parties n’est pas encore définitive – la décision préjudicielle du 18 juin 2010 étant susceptible d’être revue par le Tribunal fédéral dans le cadre d’un recours dirigé contre l’éventuelle décision du Tribunal cantonal qui mettra fin à l’instance (cf. supra let. C ch. 4, arrêt d’irrecevabilité TF 4A_560/2011 du 11 janvier 2012 c. 2.1, rendu dans le cadre de la présente affaire) –, il s’est fondé sur le fait que les parties étaient liées par un contrat de société simple et a notamment justifié l’urgence « à ce que le requérant soit réintégré dans ses droits » au motif que la société simple avait pris fin il y a déjà plus de trois ans. A supposer par ailleurs que les parties soient liées – quoi qu'en dise le premier juge – par un contrat de bail à ferme, ce qui n'est pas à exclure, il est erroné de prétendre, comme le fait le magistrat, que ledit contrat prendrait fin le 31 décembre 2013 et que l’appelant ne pourrait de toute manière pas rester sur le domaine Z.________ au-delà de cette date. En effet, dans ce cas de figure, le fermier aurait encore la possibilité de demander une prolongation de bail conformément à l’art. 273 al. 2 let. b CO (Code des obligations du 30 mars 1911; RS 220), par renvoi de l’art. 300 CO. La procédure qui oppose les parties est aujourd’hui pendante depuis plus de cinq ans et l’appelant continue d’exploiter le domaine Z.________ depuis le début du litige. Par ordonnances de mesures provisionnelles des 18 juillet 2008 et 22 juillet 2010, les pouvoirs de gestion et de représentation de l’association formée par les parties et les droits d’accès du requérant aux locaux d’habitation de l’exploitation agricole ont été réglés. On ne voit aucune circonstance de fait nouvelle qui justifierait en l’état un changement de situation par rapport à celle qui prévalait lors des précédentes mesures provisionnelles. On ne voit en particulier pas en quoi l’une des conditions posées au ch. 1 de l’art. 101 al. 1 CPC-VD, s’agissant de l’urgence, seraient réalisées, le ch. 2 du même alinéa n’étant pas en l’état applicable. Les intérêts respectifs des parties commandent, s’agissant d’une mesure d’exécution anticipée provisoire susceptible d’avoir un effet définitif, un maintien de la situation actuelle, étant rappelé que l’exploitation du domaine agricole représente pour l’appelant une activité lucrative principale alors qu’il s’agit pour l’intimé d’une activité accessoire et que le premier nommé, qui est jeune et a une famille à charge, n’a pour l’heure pas trouvé de domaine agricole de remplacement. On relèvera en outre que s’il a été retenu que les enfants du second nommé sont prêts à reprendre l’exploitation agricole de leur père ou de l’accompagner dans sa gestion, il a été précisément mentionné que ce voeu était projeté « à terme » et non pas dans l’immédiat. On ne discerne au demeurant aucun dommage difficile à réparer du point de vue de l’intimé. A titre superfétatoire, on ajoutera que l’intimé n’a nullement allégué dans sa requête de mesures provisionnelles du 20 janvier 2012 (s'agissant plus particulièrement de sa conclusion III, cf. supra, let. C, ch. 6), et encore moins rendu vraisemblable, l’appartenance de tels ou tels biens utilisés dans le cadre de l’exploitation du domaine agricole à l’une ou à l’autre des parties au présent litige, étant rappelé que les faits nouveaux ne sont pris en compte en instance d’appel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JT 2010 III 136-137). Dans ces conditions, il n’y avait donc pas lieu d’admettre partiellement la requête de mesures provisionnelles du 20 janvier 2012 d'Q.________, ce qui rend inutile l’examen de l’exécutabilité de l’ordonnance entreprise (cf. ch. I des conclusions de l’appel).</w:t>
      </w:r>
    </w:p>
    <w:p>
      <w:r>
        <w:rPr>
          <w:b/>
        </w:rPr>
        <w:t>E. 5</w:t>
      </w:r>
    </w:p>
    <w:p>
      <w:r>
        <w:t>Il s'ensuit que l’appel doit être admis et qu'il doit être à nouveau statué (art. 318 al. 1 let. b CPC) en ce sens que la requête de mesures provisionnelles du 20 janvier 2012 d'Q.________ est rejetée, les frais et dépens suivant le sort de la cause au fond. Les frais judiciaires de deuxième instance, fixés à 1'500 fr. (art. 65 al. 1 et 3 TFJC [tarif des frais judiciaires en matière civile du 28 septembre 2010; RSV 270.11.5]), doivent être mis à la charge de I’intimé, qui succombe (art. 106 al. 1 CPC), celui-ci devant rembourser à l’appelant son avance de frais (art. 111 aI. 2 CPC) et lui verser des dépens de deuxième instance, fixés à 2'000 fr. (art. 106 al. 1 CPC; art. 7 TDC [tarif du 23 novembre 2010 des dépens en matière civile; RSV 270.11.6]). Par ces motifs, la juge déléguée de la Cour d’appel civile du Tribunal cantonal, statuant à huis clos, prononce : I. L'appel est admis. II. Il est statué à nouveau comme il suit : I. La requête de mesures provisionnelles du 20 janvier 2012 d'Q.________ est rejetée. II. Les frais et dépens suivent le sort de la cause au fond. III. Les frais judiciaires de deuxième instance, arrêtés à 1'500 fr. (mille cinq cents francs), sont mis à la charge de l'intimé. IV. L'intimé Q.________ doit verser à l'appelant P.________ la somme de 3'500 fr. (trois mille cinq cents francs) à titre de dépens et de restitution d'avance de frais de deuxième instance. V. L'arrêt motivé est exécutoire. La juge déléguée : La greffière : Du 21 août 2012 Le dispositif de l'arrêt qui précède est communiqué par écrit aux intéressés. La greffière : Du L'arrêt qui précède, dont la rédaction a été approuvée à huis clos, est notifié en expédition complète, par l'envoi de photocopies à : ‑ Me Jean-Michel Henny (pour P.________) ‑ Me Kenny Blöchlinger (pour Q.________)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