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513 vom 13. Juni 2012</w:t>
      </w:r>
    </w:p>
    <w:p>
      <w:r>
        <w:t>VD Tribunal cantonal, 2012-06-13, FR</w:t>
      </w:r>
    </w:p>
    <w:p>
      <w:r>
        <w:rPr>
          <w:b/>
        </w:rPr>
        <w:t xml:space="preserve">Quelle: </w:t>
      </w:r>
      <w:r>
        <w:t>https://mcp.opencaselaw.ch/entscheid/vd_findinfo_HC___2012___513</w:t>
      </w:r>
    </w:p>
    <w:p>
      <w:r>
        <w:t>FR: VD_FINDINFO HC / 2012 / 513 du 13 juin 2012</w:t>
      </w:r>
    </w:p>
    <w:p>
      <w:r>
        <w:t>IT: VD_FINDINFO HC / 2012 / 513 del 13 giugno 2012</w:t>
      </w:r>
    </w:p>
    <w:p>
      <w:pPr>
        <w:pStyle w:val="Heading2"/>
      </w:pPr>
      <w:r>
        <w:t>Regeste</w:t>
      </w:r>
    </w:p>
    <w:p>
      <w:r>
        <w:t>ACTE ILLICITE, COMPÉTENCE INTERNATIONALE, DOL{VICE DU CONSENTEMENT}, ANNULABILITÉ, FAIT DE DOUBLE PERTINENCE, CONCOURS DE RESPONSABILITÉS, OBJET DU LITIGE | 28 al. 1 CO, 31 CO, 41 CO, 129 al. 1 LDIP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l'appel doit être rejeté et le jugement incident confirmé. Vu le rejet de l'appel, les frais judiciaires de deuxième instance, arrêtés à 15'000 fr. (art. 62 al. 1 et 2 TFJC [tarif du 28 septembre 2010 des frais judiciaires civils; RSV 270.11.5]), doivent être mis à la charge des appelants (art. 106 al. 1 CPC). La charge des dépens est évaluée à 8'000 fr. pour chaque partie, de sorte que, compte tenu de ce que les frais – comprenant les frais judiciaires et les dépens (art. 95 al. 1 CPC) – doivent être mis à la charge des appelants, ceux-ci verseront aux intimées la somme de 8’000 fr. à titre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