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510 vom 10. August 2012</w:t>
      </w:r>
    </w:p>
    <w:p>
      <w:r>
        <w:t>VD Tribunal cantonal, 2012-08-10, FR</w:t>
      </w:r>
    </w:p>
    <w:p>
      <w:r>
        <w:rPr>
          <w:b/>
        </w:rPr>
        <w:t xml:space="preserve">Quelle: </w:t>
      </w:r>
      <w:r>
        <w:t>https://mcp.opencaselaw.ch/entscheid/vd_findinfo_HC___2012___510</w:t>
      </w:r>
    </w:p>
    <w:p>
      <w:r>
        <w:t>FR: VD_FINDINFO HC / 2012 / 510 du 10 août 2012</w:t>
      </w:r>
    </w:p>
    <w:p>
      <w:r>
        <w:t>IT: VD_FINDINFO HC / 2012 / 510 del 10 agosto 2012</w:t>
      </w:r>
    </w:p>
    <w:p>
      <w:pPr>
        <w:pStyle w:val="Heading2"/>
      </w:pPr>
      <w:r>
        <w:t>Regeste</w:t>
      </w:r>
    </w:p>
    <w:p>
      <w:r>
        <w:t>OBLIGATION D'ENTRETIEN, REVENU HYPOTHÉTIQUE, MESURE D'ÉLOIGNEMENT{EN GÉNÉRAL} | 176 al. 1 ch. 1 CC, 28b al. 1 CC</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qui, capitalisées selon l'art. 92 al. 2 CPC, sont supérieures à 10'000 fr. (art. 308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Le large pouvoir d'examen en fait et en droit ainsi défini s'applique même si la décision attaquée est de nature provisionnelle (Tappy, op. cit., JT 2010 III 115, p. 136). L'appel est principalement réformatoire. L'autorité d'appel ne peut qu'à titre exceptionnel renvoyer la cause en première instance, lorsqu'un élément essentiel de la demande n'a pas été examiné ou si l'état de fait doit être complété sur des points essentiels (Tappy, op. cit., JT 2010 III 115, p. 148)</w:t>
      </w:r>
    </w:p>
    <w:p>
      <w:r>
        <w:rPr>
          <w:b/>
        </w:rPr>
        <w:t>E. 3</w:t>
      </w:r>
    </w:p>
    <w:p>
      <w:r>
        <w:t>a) L'appelant s'en prend au montant de la contribution d'entretien qui a été mise à sa charge. Il conteste qu'un revenu hypothétique puisse lui être imputé et déclare ne bénéficier que d'une allocation sociale de 1'100 fr. depuis le mois de décembre 2011. Il reproche également au premier juge de ne pas avoir fait porter l'instruction sur les capacités financières de l'intimée. b) En vertu de l'art. 176 al. 1 ch. 1 CC (Code civil suisse du 10 décembre 1907; RS 210) relatif à l'organisation de la vie séparée des époux, applicable par analogie aux mesures provisionnelles (art. 137 aCC, désormais art. 276 al. 1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(TF 5A_679/2011 du 10 avril 2012 c. 5.1; ATF 128 III 4 c. 4; ATF 127 III 136 c. 2a in fine p. 139).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(ATF 137 III 604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Pour arrêter le montant du salaire, le juge peut éventuellement se baser sur l'enquête suisse sur la structure des salaires, réalisée par l'Office fédéral de la statistique, ou sur d'autres sources (ATF 137 III 604 c. 7.4.1 et les réf. citées). Quand il s'agit de fixer la contribution d'entretien en faveur d'un enfant mineur, il faut poser des exigences particulièrement élevées au sujet de la mise à profit de la capacité de gain du débirentier. Ceci vaut en tous les cas où les conditions économiques sont modestes. On peut prendre en considération des activités lucratives qui n'exigent pas une formation professionnelle accomplie et qui figurent dans la tranche des bas salaires (ATF 137 III 118 c. 3.1, JT 2011 II 486). c) aa) En l'espèce, au cours de ces dernières années et à tout le moins depuis la séparation des parties, l'appelant n'a pas eu d'activité professionnelle durable et stable. Il n'en demeure pas moins qu'il est parvenu, à plusieurs reprises, à se faire confier des postes à haute responsabilité dans le milieu de la finance, notamment en qualité de gestionnaire de fortune, moyennant une rémunération substantielle pouvant aller jusqu'à plusieurs dizaines de milliers de francs par mois, sans compter les éventuels bonus. Il dispose ainsi nécessairement d'une formation et d'une expérience qui le rendent attractif et compétitif sur le marché de l'emploi, qui plus est dans le secteur bancaire, soit dans un secteur vaste offrant d'excellentes possibilités de gain. En outre, l'appelant est en bonne santé, aucun certificat médical n'attestant le contraire. Dans ces conditions, on doit admettre que l'appelant est en mesure de retrouver un emploi lui permettant de subvenir aux besoins de sa femme et de sa fille mineure sans entamer son minimum vital, quitte à réduire ses exigences et à ne pas viser uniquement des postes à haute responsabilité. Au vu de la situation financière actuellement précaire des parties et du fait que l'entretien d'un enfant mineur est en jeu, on peut à tout le moins exiger de l'appelant qu'il trouve un emploi n'exigeant pas de qualifications particulières, tout en restant dans son secteur d'activité ou dans un domaine similaire. Il résulte de l'Enquête suisse sur la structure des salaires en 2010, réalisée par l'Office fédéral de la statistique, que le salaire moyen pour les hommes occupant des postes non qualifiés dans le domaine financier et des assurances est de l'ordre de 6'500 fr. par mois. Un tel revenu permettrait assurément à l'appelant de contribuer à l'entretien des siens par le versement d'une pension de 1'015 fr. au moins, sans entamer son minimum vital, montant auquel l'intimée a conclu et qui correspond au maximum des avances sur pensions alimentaires qui pourraient lui être versées par le Bureau de recouvrement et d'avances sur pensions alimentaires. Quant au grief de l'appelant relatif à l'instruction prétendument lacunaire au sujet de la situation financière de l'intimée, il tombe également à faux. En effet, il ressort du dossier que l'intimée ne réalise aucun revenu et émarge aux services sociaux, qui prennent en charge son loyer ainsi que le minimum vital indispensable à son propre entretien et à celui de l'enfant mineure du couple. Au demeurant, l'appelant n'apporte aucun élément susceptible de montrer que l'intimée disposerait d'un revenu lui permettant d'assumer entièrement son entretien ainsi que celui de H.________. Mal fondés, les moyens de l'appelant tendant à réduire voire à supprimer tout contribution d'entretien mise à sa charge doivent être rejetés.</w:t>
      </w:r>
    </w:p>
    <w:p>
      <w:r>
        <w:rPr>
          <w:b/>
        </w:rPr>
        <w:t>E. 4</w:t>
      </w:r>
    </w:p>
    <w:p>
      <w:r>
        <w:t>a) L'appelant reproche au premier juge d'avoir prononcé à son encontre une interdiction de périmètre et de l'avoir assortie de la menace de la peine d'amende de l'art. 292 CP. Selon lui, cette interdiction est constitutive d'une atteinte grave à ses droits de père. b) L'art. 28b al. 1 CC, applicable par renvoi de l'art. 172 al. 3 2 ème ph. CC, prévoit qu'en cas de violence, de menaces ou de harcèlement, le demandeur peut requérir le juge d'interdire à l'auteur de l'atteinte, en particulier de l'approcher ou d'accéder à un périmètre déterminé autour de son logement (ch. 1) ou de fréquenter certains lieux, notamment des rues, places ou quartiers (ch. 2).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2010, n. 17 ad art. 28b CC, p. 281). Le principe de proportionnalité vaut aussi pour la durée des mesures. L'art. 28b CC ne prévoyant pas de limite temporelle, le juge a la faculté de décider du caractère limité ou illimité dans le temps de celles-ci, usant en cela de son pouvoir discrétionnaire (Jeandin/ Peyrot, op. cit. , n. 17 ad art. 28b CC). Les mesures de protection selon l'art. 28b CC peuvent être prises sous la menace de la peine d'amende de l'art. 292 CP (Meili, Basler Kommentar, 4 ème éd., 2010, n. 6 ad art. 28b CC). c) En l'espèce, la mesure d'éloignement prononcée à l'encontre de l'appelant trouve son fondement dans le fait, établi au stade de la vraisemblance, qu'il convient d'assurer la tranquillité de l'intimée et de sa fille, envers lesquelles l'appelant s'est montré violent. L'enfant, qui a été effrayée par le comportement violent de l'appelant, a été entendue en première instance par un juge délégué hors de la présence de ses parents et a déclaré qu'elle ne désirait pas rencontrer son père. On ne voit pas en quoi ladite interdiction nuirait à l'appelant s'il n'a pas l'intention d'importuner son épouse ou sa fille. Quant à une atteinte à sa personnalité résultant du seul prononcé d'une interdiction d'accès à certains endroits, elle ne pourrait être que minime, vu la diffusion restreinte de l'ordonnance entreprise. Dans ces conditions, la mesure d'éloignement, prononcée pour une durée limitée de neuf mois et assortie de la menace de la peine d'amende de l'art. 292 CP, est proportionnée aux circonstances, de sorte qu'il y a lieu de la confirmer.</w:t>
      </w:r>
    </w:p>
    <w:p>
      <w:r>
        <w:rPr>
          <w:b/>
        </w:rPr>
        <w:t>E. 5</w:t>
      </w:r>
    </w:p>
    <w:p>
      <w:r>
        <w:t>Au vu de ce qui précède, l'appel, manifestement infondé, doit être rejeté en application de l'art. 322 al. 1 CPC et l'ordonnance entreprise confirmée. L'appel étant dénué de chances de succès, la requête d'assistance judiciaire formulée par l'appelant doit être rejetée (art. 117 let. b CPC a contrario ) et les frais judiciaires de deuxième instance, arrêtés à 600 fr. (art. 65 al. 1 TFJC [tarif des frais judiciaires civils du 28 septembre 2010; RSV 270.11.5]), mis à la charge de l'appelant qui succombe (art. 106 al. 1 CPC). Il n'y a pas lieu à l'allocation de dépens,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formée par A.S.________ est rejetée. IV. Les frais judiciaires de deuxième instance, arrêtés à 600 fr. (six cents francs), sont mis à la charge de l'appelant A.S.________. V. L'arrêt motivé est exécutoire. Le juge délégué : La greffière : Du 14 août 2012 Le dispositif de l'arrêt qui précède est communiqué par écrit aux intéressés. La greffière : Du L'arrêt qui précède, dont la rédaction a été approuvée à huis clos, est notifié en expédition complète, par l'envoi de photocopies, à : ‑ Me Albert J. Graf, avocat (pour A.S.________), ‑ Me Catherine Jaccottet Tissot, avocate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