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494 vom 17. Juli 2012</w:t>
      </w:r>
    </w:p>
    <w:p>
      <w:r>
        <w:t>VD Tribunal cantonal, 2012-07-17, FR</w:t>
      </w:r>
    </w:p>
    <w:p>
      <w:r>
        <w:rPr>
          <w:b/>
        </w:rPr>
        <w:t xml:space="preserve">Quelle: </w:t>
      </w:r>
      <w:r>
        <w:t>https://mcp.opencaselaw.ch/entscheid/vd_findinfo_HC___2012___494</w:t>
      </w:r>
    </w:p>
    <w:p>
      <w:r>
        <w:t>FR: VD_FINDINFO HC / 2012 / 494 du 17 juillet 2012</w:t>
      </w:r>
    </w:p>
    <w:p>
      <w:r>
        <w:t>IT: VD_FINDINFO HC / 2012 / 494 del 17 luglio 2012</w:t>
      </w:r>
    </w:p>
    <w:p>
      <w:pPr>
        <w:pStyle w:val="Heading2"/>
      </w:pPr>
      <w:r>
        <w:t>Regeste</w:t>
      </w:r>
    </w:p>
    <w:p>
      <w:r>
        <w:t>FRAIS D'EXPERTISE | 242 CPC, 184 al. 3 CPC (CH)</w:t>
      </w:r>
    </w:p>
    <w:p>
      <w:pPr>
        <w:pStyle w:val="Heading2"/>
      </w:pPr>
      <w:r>
        <w:t>Erwägungen</w:t>
      </w:r>
    </w:p>
    <w:p>
      <w:r>
        <w:rPr>
          <w:b/>
        </w:rPr>
        <w:t>E. 1</w:t>
      </w:r>
    </w:p>
    <w:p>
      <w:r>
        <w:t>a) Le prononcé attaqué a été rendu le 21 mai 2012, de sorte que les voies de droit sont régies par le CPC (Code de procédure civile suisse du 19 décembre 2008 ; RS 272), entré en vigueur Ie 1 er janvier 2011 (art. 405 al. 1 CPC ; ATF 137 III 127 ; ATF 137 III 130 ; ATF 137 III 424 ; Tappy, in CPC commenté, Bâle 2011, nn. 5 ss ad art. 405 CPC). Cela étant, dès lors que la procédure au fond était en cours au 1 er janvier 2011, les règles applicables à la fixation des frais d'expertise sont celles de l'ancien droit de procédure cantonal (art. 404 al. 1 CPC), en particulier l'art. 242 CPC-VD (Code de procédure civile vaudoise du 14 décembre 1966) et l'aTFJC (tarif des frais judiciaires en matière civile du 4 décembre 1984), dont l'art. 257 classe les frais d'expertise parmi les débours (CREC 2 février 2012/48 ; CREC 6 octobre 2011/183 et les réf. citées). b) Selon l'art. 319 let. b ch. 1 CPC, le recours est recevable contre les autres décisions et ordonnances d'instruction de première instance dans les cas prévus par la loi. Tel est le cas d'un prononcé fixant la rémunération de l'expert, la voie du recours étant expressément ouverte par l'art. 184 al. 3 CPC. Motivé et déposé en temps utile, par une partie qui y a un intérêt digne de protection (art. 59 al. 2 let. a CPC), le recours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(HohI, Procédure civile, Tome lI, 2e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Saisie d'un recours fondé sur l'art. 184 al. 3 CPC, la Chambre de céans examine avec retenue la fixation des honoraires de l'expert telle qu'effectuée par le premier juge (CREC 16 janvier 2012/11 c. 4d). La décision du premier juge doit donc être examinée sous l'angle d'un éventuel abus du pouvoir d'appréciation.</w:t>
      </w:r>
    </w:p>
    <w:p>
      <w:r>
        <w:rPr>
          <w:b/>
        </w:rPr>
        <w:t>E. 3</w:t>
      </w:r>
    </w:p>
    <w:p>
      <w:r>
        <w:t>CPC. Il appartiendra le moment venu à la recourante de les faire valoir, lorsqu'elle plaidera au fond la valeur probante de l'expertise (CREC du 9 novembre 2011/212).</w:t>
      </w:r>
    </w:p>
    <w:p>
      <w:r>
        <w:rPr>
          <w:b/>
        </w:rPr>
        <w:t>E. 4</w:t>
      </w:r>
    </w:p>
    <w:p>
      <w:r>
        <w:t>La recourante invoque également la violation de son droit d'être entendue et de son droit à la preuve, faisant valoir qu'elle n'aurait pas disposé de toutes les pièces permettant de critiquer l'expertise. Dès lors que la violation alléguée concerne en réalité non pas la rémunération de l'expert, mais, comme l'observe du reste la recourante, la possibilité de requérir un complément d'expertise ou une nouvelle expertise selon l'art. 237 al. 2 CPC-VD, ces moyens sont également irrecevables. En effet, le prononcé attaqué ne statue pas sur la question d'un éventuel complément d'expertise ou d'une seconde expertise et il appartiendra à nouveau à la recourante de faire valoir ses moyens, le cas échéant, dans la procédure au fond. Mal fondé, ce moyen doit également être rejeté.</w:t>
      </w:r>
    </w:p>
    <w:p>
      <w:r>
        <w:rPr>
          <w:b/>
        </w:rPr>
        <w:t>E. 5</w:t>
      </w:r>
    </w:p>
    <w:p>
      <w:r>
        <w:t>Au vu de ce qui précède, le recours, manifestement infondé au sens de l'art. 322 al. 1 CPC, doit être rejeté et le prononcé entrepris confirmé. Les frais judiciaires de deuxième instance, arrêtés à 450 fr. (art. 69 al. 1 TFJC [tarif des frais judiciaires civils du 28 septembre 2010 ; RSV 270.11.5]), doivent être mis à la charge de la recourante (art. 106 al. 1 CPC).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II. Le prononcé est confirmé. III. Les frais judiciaires de deuxième instance, par 450 fr. (quatre cent cinquante francs), sont mis à la charge de la recourante D.________. IV. L'arrêt motivé est exécutoire. Le président :               La greffière : Du 18 juillet 2012 Le dispositif de l'arrêt qui précède est communiqué par écrit aux intéressés. La greffière : Du L'arrêt qui précède, dont la rédaction a été approuvée à huis clos, est notifié en expédition complète, par l'envoi de photocopies, à : ‑ Me Olivier Righetti, avocat (pour D.________), ‑ Me Jean-Christophe Diserens, avocat (pour R.________SA).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