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487 vom 15. Juni 2012</w:t>
      </w:r>
    </w:p>
    <w:p>
      <w:r>
        <w:t>VD Tribunal cantonal, 2012-06-15, FR</w:t>
      </w:r>
    </w:p>
    <w:p>
      <w:r>
        <w:rPr>
          <w:b/>
        </w:rPr>
        <w:t xml:space="preserve">Quelle: </w:t>
      </w:r>
      <w:r>
        <w:t>https://mcp.opencaselaw.ch/entscheid/vd_findinfo_HC___2012___487</w:t>
      </w:r>
    </w:p>
    <w:p>
      <w:r>
        <w:t>FR: VD_FINDINFO HC / 2012 / 487 du 15 juin 2012</w:t>
      </w:r>
    </w:p>
    <w:p>
      <w:r>
        <w:t>IT: VD_FINDINFO HC / 2012 / 487 del 15 giugno 2012</w:t>
      </w:r>
    </w:p>
    <w:p>
      <w:pPr>
        <w:pStyle w:val="Heading2"/>
      </w:pPr>
      <w:r>
        <w:t>Regeste</w:t>
      </w:r>
    </w:p>
    <w:p>
      <w:r>
        <w:t>ACTION EN PARTAGE, AVANCE DE FRAIS, EXPERTISE, NOTAIRE | 242 CPC, 567 CPC, 570 CPC, 572 CPC, 90 CPC, 404 al. 1 CPC (CH)</w:t>
      </w:r>
    </w:p>
    <w:p>
      <w:pPr>
        <w:pStyle w:val="Heading2"/>
      </w:pPr>
      <w:r>
        <w:t>Erwägungen</w:t>
      </w:r>
    </w:p>
    <w:p>
      <w:r>
        <w:rPr>
          <w:b/>
        </w:rPr>
        <w:t>E. 1</w:t>
      </w:r>
    </w:p>
    <w:p>
      <w:r>
        <w:t>a) La décision entreprise a été communiquée le 25 avril 2012, de sorte que les voies de droit sont régies par le CPC (Code de procédure civile du 19 décembre 2008 ; RS 272), entré en vigueur le 1 er janvier 2011 (art. 405 al. 1 CPC). b) Les frais au sens du CPC comprennent les frais judiciaires et les dépens (art. 95 al. 1 CPC). La décision sur les frais ne peut être attaquée séparément que par un recours (art. 110 CPC; Tappy, CPC commenté, Bâle 2011, nn. 3 et 4 ad art. 110 CPC, p. 437 et 438). Lorsque la décision a été rendue en procédure ordinaire, le délai pour recourir contre les frais est de 30 jours (Tappy, op. cit., n. 10 ad art. 110 CPC p. 439). S’agissant du droit applicable, l’art. 404 al. 1 CPC dispose que les procédures en cours à l’entrée en vigueur de la présente loi sont régies par l’ancien droit de procédure jusqu’à la clôture de l’instance. En l’espèce, le procès s’est ouvert avant le 1 er janvier 2011. S'agissant d'une cause de partage successoral, il y a donc lieu de se référer aux art. 567 ss CPC-VD. c) En l'espèce, déposé en temps utile par une partie qui y a intérêt, le recours est recevable.</w:t>
      </w:r>
    </w:p>
    <w:p>
      <w:r>
        <w:rPr>
          <w:b/>
        </w:rPr>
        <w:t>E. 2</w:t>
      </w:r>
    </w:p>
    <w:p>
      <w:r>
        <w:t>a)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b)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Les pièces produites par la recourante, qui figurent au dossier de la cause, sont recevables (art. 326 al. 1 CPC a contrario). En l'espèce, les pièces produites par la recourante figurent au dossier de la cause et sont ainsi recevables.</w:t>
      </w:r>
    </w:p>
    <w:p>
      <w:r>
        <w:rPr>
          <w:b/>
        </w:rPr>
        <w:t>E. 3</w:t>
      </w:r>
    </w:p>
    <w:p>
      <w:r>
        <w:t>a) La recourante fait valoir que les parties sont convenues que le règlement des honoraires du notaire s'effectuerait après le partage, aucune avance de frais ne devant être demandée à cet effet, et relève que le notaire a accepté d'être rémunéré sur les actifs de la succession. Au surplus, elle reproche au premier juge d'avoir mis la totalité de l'avance de frais à sa charge alors qu'elle n'a requis ni le partage, ni l'expertise. b) Selon l'art. 90 CPC-VD, chaque partie doit faire l'avance des émoluments et des frais pour toute opération de l'office requise par elle ou ordonnée par le juge pour établir ses allégations. Dans le cadre d'une expertise, l'expert a droit au remboursement de ses frais et à des honoraires fixés par le juge qui a dirigé l'instruction (art. 242 CPC-VD applicable par renvoi de l'art. 572 CPC-VD) c) En l'espèce, il résulte incontestablement des pièces du dossier, en particulier du procès-verbal de l'audience du 26 novembre 2009 et des échanges de correspondances qui ont suivi – notamment la lettre du 21 avril 2010 de Me [...] et celle du 22 avril 2010 du Président du Tribunal d'arrondissement de l'Est vaudois –, que le notaire avait renoncé à percevoir une avance de frais, partant du principe que les actifs de la succession étaient suffisamment importants pour couvrir ses frais. Au surplus, Me[...] n'a produit sa note d'honoraires qu'à la suite de la réquisition du Président du Tribunal de l'arrondissement de l'Est vaudois, démontrant ainsi qu'il ne prétendait pas à une avance de frais. Bien fondé, le moyen de la recourante doit être admis.</w:t>
      </w:r>
    </w:p>
    <w:p>
      <w:r>
        <w:rPr>
          <w:b/>
        </w:rPr>
        <w:t>E. 4</w:t>
      </w:r>
    </w:p>
    <w:p>
      <w:r>
        <w:t>En définitive, le recours doit être admis et la décision réformée en ce sens que la recourante est dispensée d'effectuer l'avance des frais d'expertise. Les frais judiciaires de deuxième instance, arrêtés à 520 fr (art. 69 al. 1 TFJC [tarif des frais judiciaires civils du 28 septembre 2010; RSV 270.11.5]), sont laissés à la charge de l'Etat. Dès lors que la partie intimée s'en est remise à justice, il ne se justifie pas d'allouer des dépens (art. 106 al. 1 CPC a contrario et art. 107 al. 1 let. f CPC). Par ces motifs, la Chambre des recours civile du Tribunal cantonal, statuant à huis clos, prononce : I. Le recours est admis. II. La décision est réformée en ce sens que A.P.________, par son curateur d'absence, est dispensée d'effectuer l'avance de frais d'expertise. III. Les frais judiciaires de deuxième instance, arrêtés à 520 fr. (cinq cent vingt francs), sont laissés à la charge de l'Etat. IV. Il n'est pas alloué de dépens de deuxième instance. V. L'arrêt motivé est exécutoire. Le président :               Le greffier : Du 18 juin 2012 Le dispositif de l'arrêt qui précède est communiqué par écrit aux intéressés. Le greffier : Du L'arrêt qui précède, dont la rédaction a été approuvée à huis clos, est notifié en expédition complète, par l'envoi de photocopies, à : ‑ Me Christophe Misteli (pour A.P.________), ‑ Me Christian Dénériaz (pour B.P.________). La Chambre des recours civile considère que la valeur litigieuse est de 22'000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