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2012 / 485 vom 14. Juni 2012</w:t>
      </w:r>
    </w:p>
    <w:p>
      <w:r>
        <w:t>VD Tribunal cantonal, 2012-06-14, FR</w:t>
      </w:r>
    </w:p>
    <w:p>
      <w:r>
        <w:rPr>
          <w:b/>
        </w:rPr>
        <w:t xml:space="preserve">Quelle: </w:t>
      </w:r>
      <w:r>
        <w:t>https://mcp.opencaselaw.ch/entscheid/vd_findinfo_HC___2012___485</w:t>
      </w:r>
    </w:p>
    <w:p>
      <w:r>
        <w:t>FR: VD_FINDINFO HC / 2012 / 485 du 14 juin 2012</w:t>
      </w:r>
    </w:p>
    <w:p>
      <w:r>
        <w:t>IT: VD_FINDINFO HC / 2012 / 485 del 14 giugno 2012</w:t>
      </w:r>
    </w:p>
    <w:p>
      <w:pPr>
        <w:pStyle w:val="Heading2"/>
      </w:pPr>
      <w:r>
        <w:t>Regeste</w:t>
      </w:r>
    </w:p>
    <w:p>
      <w:r>
        <w:t>PROTECTION DE L'UNION CONJUGALE, RÉSIDENCE HABITUELLE | 176 CC, 48 LDIP, 85 al. 1 LDIP, 2 CLaH 96, 3 CLaH 96, 5 CLaH 96, 308 al. 1 let. b CPC (CH)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avril 2012, en concluant, avec suite de frais et dépens, principalement à son annulation intégrale et, subsidiairement, au renvoi de la cause au premier juge pour nouvelle instruction et nouvelle décision. Il a produit quatre pièces, dont le prononcé querellé. L’appelant s’est acquitté de l’avance de frais de 600 fr. qui lui a été demandée. L'intimée n'a pas été invitée à se déterminer. C. Le juge délégué retient les faits suivants, sur la base du prononcé querellé, complété par les pièces du dossier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