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484 vom 2. August 2012</w:t>
      </w:r>
    </w:p>
    <w:p>
      <w:r>
        <w:t>VD Tribunal cantonal, 2012-08-02, FR</w:t>
      </w:r>
    </w:p>
    <w:p>
      <w:r>
        <w:rPr>
          <w:b/>
        </w:rPr>
        <w:t xml:space="preserve">Quelle: </w:t>
      </w:r>
      <w:r>
        <w:t>https://mcp.opencaselaw.ch/entscheid/vd_findinfo_HC___2012___484</w:t>
      </w:r>
    </w:p>
    <w:p>
      <w:r>
        <w:t>FR: VD_FINDINFO HC / 2012 / 484 du 2 août 2012</w:t>
      </w:r>
    </w:p>
    <w:p>
      <w:r>
        <w:t>IT: VD_FINDINFO HC / 2012 / 484 del 2 agosto 2012</w:t>
      </w:r>
    </w:p>
    <w:p>
      <w:pPr>
        <w:pStyle w:val="Heading2"/>
      </w:pPr>
      <w:r>
        <w:t>Regeste</w:t>
      </w:r>
    </w:p>
    <w:p>
      <w:r>
        <w:t>SOMMATION, FORME ÉCRITE, ANNULABILITÉ, RÉSILIATION | 257d CO</w:t>
      </w:r>
    </w:p>
    <w:p>
      <w:pPr>
        <w:pStyle w:val="Heading2"/>
      </w:pPr>
      <w:r>
        <w:t>Erwägungen</w:t>
      </w:r>
    </w:p>
    <w:p>
      <w:r>
        <w:rPr>
          <w:b/>
        </w:rPr>
        <w:t>E. 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Ecrit et motivé, l'appel est introduit auprès de l'instance d'appel, soit la Cour d'appel civile (art. 84 LOJV [loi vaudoise d'organisation judiciaire du 12 décembre 1979 ; RSV 173.01]). Lorsque la décision a été rendue en procédure sommaire, le délai d'appel est de dix jours à compter de la notification de la décision (art. 311 al. 1 et 314 al. 1 CPC). En l'espèce, interjeté en temps utile par des parties qui y ont intérêt contre une décision finale de première instance rendue dans une affaire patrimoniale dont la valeur litigieuse, calculée selon l'art. 92 al. 2 CPC, est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w:t>
      </w:r>
    </w:p>
    <w:p>
      <w:r>
        <w:rPr>
          <w:b/>
        </w:rPr>
        <w:t>E. 3</w:t>
      </w:r>
    </w:p>
    <w:p>
      <w:r>
        <w:t>a) Les appelants font valoir que la lettre de mise en demeure du 12 décembre 2011 ne  comporte pas de signature manuscrite, de sorte qu'elle est nulle, cette nullité devant être relevée d'office par le juge. b) Aux termes de l'art. 257d al. 1 CO (Code des obligations du 30 mars 1911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 les baux d'habitation peuvent être résiliés moyennant un délai de congé minimum de trente jours pour la fin d'un mois (art. 257d al. 2 CO). Ainsi, l'avis comminatoire doit être donné par écrit, ce qui signifie qu'il doit être signé de la main du bailleur ou de son représentant (art. 14 al. 1 CO). La commination qui ne respecte pas cette règle de forme est nulle (Wessner, Droit du bail à loyer, Commentaire pratique, Bâle 2010, n. 16 ad art. 257d CO ; Higi, Zürcher Kommentar, n. 35 ad art. 257d CO ; Colombini, Condensé de la jurisprudence fédérale et vaudoise en matière de congé donné en raison du défaut de paiement du loyer (art. 257d CO), JT 2012 III 37, spéc. n. 17, p. 43 ; CACI 23 février 2012/91). Si l'une des conditions d'application de l'art. 257d CO n'est pas réalisée, le congé est nul (Lachat, Le bail à loyer, Lausanne 2008, n. 2.3.5, p. 670). Sauf abus de droit, cette nullité peut être invoquée en tout temps (Lachat, op. cit., n. 2.2, p. 727). c) En l'espèce, la mise en demeure que le représentant du bailleur a notifiée aux locataires 12 décembre 2011 ne comporte aucune signature manuscrite, de sorte que, la forme écrite exigée par l'art. 257d al. 1 CO n'étant pas respectée, l'avis comminatoire est nul. Il en résulte que le congé signifié par la bailleresse est nul. Il n'apparaît pas que les appelants, qui établissent avoir réglé trois montants de 1'883 fr., les 17 février 2012, 28 février 2012 et 3 avril 2012, abuseraient de leur droit en soulevant ce moyen. La requête d'expulsion en cas clair est par conséquent irrecevable (cf. Colombini, op. cit., JT 2012 III 37, spéc. n. 67a, p. 69). Le grief invoqué par les appelants s'avère ainsi bien fondé.</w:t>
      </w:r>
    </w:p>
    <w:p>
      <w:r>
        <w:rPr>
          <w:b/>
        </w:rPr>
        <w:t>E. 4</w:t>
      </w:r>
    </w:p>
    <w:p>
      <w:r>
        <w:t>Au vu de ce qui précède, l'appel doit être admis et l'ordonnance entreprise réformée en ce sens que la requête d'expulsion est irrecevable. Les frais judiciaires de deuxième instance, arrêtés à 100 fr., sont mis à la charge de l'intimée qui succombe (art. 62 al. 3 et 69 al. 1 TFJC [tarif des frais judiciaires civils du 28 septembre 2010 ; RSV 270.11.5] ; art. 106 al. 1 CPC). Obtenant gain de cause, les appelants ont droit à des dépens qui peuvent être fixés à 100 fr., montant correspondant à leur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