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482 vom 4. September 2012</w:t>
      </w:r>
    </w:p>
    <w:p>
      <w:r>
        <w:t>VD Tribunal cantonal, 2012-09-04, FR</w:t>
      </w:r>
    </w:p>
    <w:p>
      <w:r>
        <w:rPr>
          <w:b/>
        </w:rPr>
        <w:t xml:space="preserve">Quelle: </w:t>
      </w:r>
      <w:r>
        <w:t>https://mcp.opencaselaw.ch/entscheid/vd_findinfo_HC___2012___482</w:t>
      </w:r>
    </w:p>
    <w:p>
      <w:r>
        <w:t>FR: VD_FINDINFO HC / 2012 / 482 du 4 septembre 2012</w:t>
      </w:r>
    </w:p>
    <w:p>
      <w:r>
        <w:t>IT: VD_FINDINFO HC / 2012 / 482 del 4 settembre 2012</w:t>
      </w:r>
    </w:p>
    <w:p>
      <w:pPr>
        <w:pStyle w:val="Heading2"/>
      </w:pPr>
      <w:r>
        <w:t>Regeste</w:t>
      </w:r>
    </w:p>
    <w:p>
      <w:r>
        <w:t>PRINCIPE DE LA TRANSPARENCE{EN GÉNÉRAL}, PRINCIPE DE LA TRANSPARENCE{SOCIÉTÉ} | 2 CC</w:t>
      </w:r>
    </w:p>
    <w:p>
      <w:pPr>
        <w:pStyle w:val="Heading2"/>
      </w:pPr>
      <w:r>
        <w:t>Erwägungen</w:t>
      </w:r>
    </w:p>
    <w:p>
      <w:r>
        <w:rPr>
          <w:b/>
        </w:rPr>
        <w:t>E. 1</w:t>
      </w:r>
    </w:p>
    <w:p>
      <w:r>
        <w:t>let. a CPC), dans les causes exclusivement patrimoniales pour autant que la valeur litigieuse, au dernier état des conclusions devant l’autorité inférieure, soit de 10'000 fr. au moins (art. 308 al. 2 CPC). Le délai d’appel est de trente jours (art. 311 al. 1 CPC), pour autant que la décision n’ait pas été rendue en procédure sommaire, auquel cas ce délai n’est que de dix jours (art. 314 al. 1 CPC). Formé en temps utile par une partie qui y a intérêt (art. 59 al. 2 let. a CPC), dans une cause patrimoniale dont la valeur litigieuse est supérieure à 10'000 fr., l’appel est recevable à la forme.</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En l’espèce, l’appelant ne démontre aucunement que les conditions de l’art. 317 CPC seraient réalisées. Les faits et moyens de preuve nouveaux sont ainsi irrecevables.</w:t>
      </w:r>
    </w:p>
    <w:p>
      <w:r>
        <w:rPr>
          <w:b/>
        </w:rPr>
        <w:t>E. 3</w:t>
      </w:r>
    </w:p>
    <w:p>
      <w:r>
        <w:t>a) Dans un premier moyen, l’appelant conteste l’application du principe de la transparence au cas d’espèce. Il fait valoir que ce n’est qu’exceptionnellement et dans des cas manifestes d’abus de droit que le principe de transparence trouve à s’appliquer et qu’en l’occurrence, rien ne démontrerait qu’il aurait utilisé K.________ Sàrl à des fins contraires au droit, en particulier pour échapper à ses obligations, ou qu’il aurait entretenu une confusion sur les entités par le biais desquelles il agissait. L’appelant ajoute que K.________ Sàrl a précisément été créée pour remplacer la raison individuelle B.________ et que l’intimé savait parfaitement qu’il avait affaire à K.________ Sàrl pour tous les transports qu’il avait effectués, puisque c’est à celle-ci qu’il avait adressé toutes ses factures. L’appelant relève enfin que les seuls documents qui mentionnent la raison individuelle B.________ sont certaines lettres de voiture, lesquelles étaient complétées par des sociétés clientes qui n’avaient pas encore mis à jour leur base de données. En définitive, l’appelant soutient qu’il ne saurait être personnellement le débiteur de factures qui concernent uniquement K.________ Sàrl. b) Selon la théorie de la transparence, on ne peut pas s’en tenir dans tous les cas à l’existence formelle de deux personnes juridiquement distinctes lorsque tout l’actif ou la quasi-totalité de l’actif d’une société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 lient également l'autre (TF 4A_473/2011 du 22 décembre 2011 c. 1.1). L’identité des personnes doit être reconnue chaque fois que le fait d’invoquer la dualité des sujet constitue un abus de droit ou a pour effet une atteinte manifeste à des intérêts légitimes (TF 4A_473/2011 du 22 décembre 2011 c. 1.1 ; ATF 121 III 319 c. 5a/aa et les arrêts cités, JT 1996 I 92 ; cf. également ATF 132 III 489 c. 3.2, JT 2007 II 81 ; ATF 132 III 737 c. 2.3 ; ATF 128 II 329 c. 2.4 ; Forstmoser/Meier-Hayoz/Nobel, Schweizerisches Aktienrecht, Berne 1996, pp. 65 ss, nn. 51 ss ; Chappuis, L'abus de droit en droit suisse des affaires, in L'abus de droit – Comparaisons franco-suisses, Saint-Etienne 2001, p. 92). Ainsi, l’indépendance juridique entre l'actionnaire unique, respectivement l’associé-gérant, et la société anonyme, respectivement la société à responsabilité limitée, ne peut pas être invoquée dans un but qui ne mérite pas la protection de la loi, comme par exemple pour éluder un contrat, une prohibition de concurrence ou encore pour contourner une interdiction (TF 4A_58/2011 du 17 juin 2011 c. 2.4.1 et les réf. citées). L'application du principe de la transparence suppose donc, tout d'abord, qu'il y ait identité des personnes, conformément à la réalité économique, ou, en tout cas, la domination économique d'un sujet de droit sur l'autre ; il faut ensuite que la dualité soit invoquée de manière abusive, c'est-à-dire pour tirer un avantage injustifié (TF 4A_473/2011 du 22 décembre 2011 c. 1.1 et les réf. citées ; TF 4A_384/2008 du 9 décembre 2008 c. 4.1 et 4.2). La mainmise d’une personne sur une société ne se traduit pas nécessairement par la possession de l’ensemble ou de la majorité des actions ou parts de cette société (TF 5P.127/2003 du 4 juillet 2003 c. 2.2) ; d’autres formes de dépendance sont en effet envisageables, notamment au travers des relations familiales ou amicales (TF 4A_384/2008 du 9 décembre 2008 c. 4.1 et les réf. citées). c) En l’espèce, la raison individuelle B.________ a coexisté avec la raison sociale K.________ Sàrl du 23 février 2005, date de l’inscription au Registre du commerce de la seconde, au 5 janvier 2009, date de la radiation de l’inscription de la première, soit durant près de 4 ans. Contrairement à ce que prétend l’appelant, on ne saurait dès lors considérer que les deux entités se seraient purement et simplement succédées, ni que l’une aurait remplacé l’autre. Au contraire, lorsque les transports litigieux ont été exécutés par l’intimé, les deux entités coexistaient. Lorsqu’elles coexistaient, les deux entités étaient par ailleurs domiciliées à la même adresse, K.________ Sàrl ayant son siège chez A.________, et avaient un but et une activité partiellement similaires, à savoir le transport international de marchandises. Si A.________ ne détenait que la moitié des parts de K.________ Sàrl, il disposait d’une signature individuelle et assumait la gestion effective de la société ainsi que les relations avec les sous-traitants et les clients, les autres détenteurs de parts, à savoir des relations familiales, ne s’étant pas investis dans la gestion ou l’organisation de la société. Il en découle que les deux entités formaient manifestement une identité économique. Reste à déterminer s’il se justifie de faire application du principe de la transparence, et, partant, à examiner si l’invocation par l’appelant de la dualité des entités juridiques est en l’espèce constitutive d’un abus de droit ou d’une atteinte manifeste à des intérêts légitimes. Si les factures de l’intimé ont toutes été adressées à K.________ Sàrl, les lettres de voiture relatives aux transports facturés indiquent tantôt cette société, tantôt la raison individuelle B.________ à titre de transporteur. L’appelant soutient certes que cette raison individuelle ne subsistait plus que sur le papier puisqu’elle avait été remplacée par la raison sociale ; force est toutefois de constater que la mention des deux entités sur les lettres de voiture n’a suscité aucune réaction de la part de l’appelant qui s’en est accommodé, alors qu’elle créait manifestement une confusion même dans l’esprit d’un sous-traitant, d’autant que toutes deux étaient alors inscrites au Registre du commerce. Tous les transports sous-traités à l’intimé, qu’ils figurent sous l’une ou l’autre entité sur les lettres de voiture, l’ont par ailleurs été par une seule et même personne, à savoir l’appelant, et aucun élément contractuel ne permettait à l’intimé de distinguer si ces transports avaient été sous-traités par l’appelant en son propre nom ou pour le compte de K.________ Sàrl. En particulier, l’attribution de ces transports n’a jamais fait l’objet de contrats indiquant l’entité attributrice. L’employée d’un client de A.________, entendue en qualité de témoin, a d’ailleurs confirmé qu’elle ne faisait aucune distinction entre les entités K.________ Sàrl et B.________ et qu’elle avait traité avec la même personne dans les deux cas, même si, pour elle, l’une des entités avait succédé à l’autre. La confusion entre les deux entités était telle que, dans leur réponse commune du 18 novembre 2009, l’appelant et K.________ Sàrl ont allégué qu’ ils avaient sous-traité à l’intimé des missions de transport (allégué 159) et que celui-ci avait ainsi effectué un certain nombre de transports pour leur compte (allégué 172), en n’opérant aucune distinction entre les transports sous-traités par chacune de ces deux entités. De même, l’appelant et K.________ Sàrl ont allégué qu’ ils avaient été sollicités par l’intimé pour effectuer des transports (allégué 197) et conclu à ce que l’intimé soit déclaré débiteur conjointement de A.________ et K.________ Sàrl, solidairement entre eux , d’un montant de 13'903 fr. 95, ce qui démontre que la situation était confuse non seulement pour l’intimé, mais également pour l’appelant et K.________ Sàrl. La confusion entretenue par la raison individuelle B.________ et la raison sociale K.________ Sàrl ressort au demeurant clairement de leur formule de quittance d’essence commune (cf. pièce 104bis du bordereau du 29 avril 2010). Cette formule préimprimée, pourtant complétée en novembre 2005, soit dix mois après l’inscription de la raison sociale censée remplacer la raison individuelle, est ainsi intitulée « B.________ / K.________ Sàrl, [...], 1800 Vevey ». Il résulte de ce qui précède que l’appelant et la raison sociale K.________ Sàrl, dont les intérêts se confondaient, ont agi comme une seule et même personne et qu’elles ont entretenu une confusion tant chez leurs clients que chez l’intimé quant à l’identité de l’entité qui agissait. L’appelant ne saurait dès lors se prévaloir de l’indépendance juridique de la société K.________ Sàrl pour ne pas respecter ses engagements contractuels ; cela constitue une atteinte manifeste au principe de la bonne foi dans les affaires, soit un abus de droit. Il y a lieu, au contraire, de faire application du principe de la transparence, afin de protéger l’intimé qui, autrement, se verrait indûment opposer la dualité des personnes juridiques. C’est dès lors à juste titre que les premiers juges ont fait application du principe de la transparence. Mal fondé, le moyen de l’appelant doit être rejeté. Vu ce qui précède, il n’y a pas lieu d’examiner le second moyen invoqué par l’appelant. La solidarité entre l’appelant et K.________ Sàrl s’imposant en raison de l’application du principe de la transparence, il n’est en effet pas nécessaire d’examiner si elle pourrait également découler de la réalisation d’un but commun ou d’actes concluants.</w:t>
      </w:r>
    </w:p>
    <w:p>
      <w:r>
        <w:rPr>
          <w:b/>
        </w:rPr>
        <w:t>E. 4</w:t>
      </w:r>
    </w:p>
    <w:p>
      <w:r>
        <w:t>En conclusion, l’appel doit être rejeté, en application de l’art. 312 al. 1 CPC, et le jugement confirmé. Les frais judiciaires de deuxième instance, arrêtés à 1'392 fr. (art. 62 al. 1 TFJC [Tarif des frais judiciaires civils du 28 septembre 2010, RSV 270.11.5]), sont mis à la charge de l’appelant qui succombe (art. 106 al. 1 CPC ; cf. ci-dessous c. 5). Il n’y a pas matière à l’allocation de dépens de deuxième instance, l’intimé n’ayant pas été invité à se déterminer sur l’appel.</w:t>
      </w:r>
    </w:p>
    <w:p>
      <w:r>
        <w:rPr>
          <w:b/>
        </w:rPr>
        <w:t>E. 5</w:t>
      </w:r>
    </w:p>
    <w:p>
      <w:r>
        <w:t>A teneur de l’art. 117 CPC, une personne a droit à l’assistance judiciaire lorsqu’elle ne dispose pas de ressources suffisantes (let. a) et que sa cause ne paraît pas d’emblée dépourvue de toute chance de succès (let. b). En l’espèce, l’appelant réalise un revenu mensuel de 5'485 fr. 90, auquel s’ajoute le revenu de son épouse par 2'774 fr. 90, ce qui représente un revenu mensuel global de 8'260 fr. 80. Les charges mensuelles du ménage comprennent un loyer de 1'260 fr., des primes d’assurance-maladie par 823 fr. 30, une prime d’assurance-vie de 410 fr. 40, une charge fiscale de 1'600 fr., des frais de téléphone par 200 fr. et le remboursement de dettes par 1'000 francs. Compte tenu d’un minimum vital majoré de 2'125 fr. (1'700 fr. + 25 %), les charges du ménage se montent donc à 7'418 fr. 70, de sorte que son disponible mensuel s’élève ainsi à 842 fr.</w:t>
      </w:r>
    </w:p>
    <w:p>
      <w:r>
        <w:rPr>
          <w:b/>
        </w:rPr>
        <w:t>E. 10</w:t>
      </w:r>
    </w:p>
    <w:p>
      <w:r>
        <w:t>La condition de l’indigence de l’art. 117 let. a CPC n’est dès lors pas remplie. Par ailleurs, l’appel était d’emblée dépourvu de chance de succès, de sorte que la condition de l’art. 117 let. b CPC n’est pas non plus remplie. Il en découle que la requête d’assistance judiciaire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