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480 vom 26. Juli 2012</w:t>
      </w:r>
    </w:p>
    <w:p>
      <w:r>
        <w:t>VD Tribunal cantonal, 2012-07-26, FR</w:t>
      </w:r>
    </w:p>
    <w:p>
      <w:r>
        <w:rPr>
          <w:b/>
        </w:rPr>
        <w:t xml:space="preserve">Quelle: </w:t>
      </w:r>
      <w:r>
        <w:t>https://mcp.opencaselaw.ch/entscheid/vd_findinfo_HC___2012___480</w:t>
      </w:r>
    </w:p>
    <w:p>
      <w:r>
        <w:t>FR: VD_FINDINFO HC / 2012 / 480 du 26 juillet 2012</w:t>
      </w:r>
    </w:p>
    <w:p>
      <w:r>
        <w:t>IT: VD_FINDINFO HC / 2012 / 480 del 26 luglio 2012</w:t>
      </w:r>
    </w:p>
    <w:p>
      <w:pPr>
        <w:pStyle w:val="Heading2"/>
      </w:pPr>
      <w:r>
        <w:t>Regeste</w:t>
      </w:r>
    </w:p>
    <w:p>
      <w:r>
        <w:t>PROTECTION DE L'UNION CONJUGALE, LOGEMENT DE LA FAMILLE, ATTRIBUTION{SENS GÉNÉRAL} | 176 al. 1 ch. 2 CC</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2010; RS 272) (Tappy, Les voies de droit du nouveau Code de procédure civile, JT 2010 III 121). L’appel est recevable dans les causes non patrimoniales ou dont la valeur litigieuse, au dernier état des conclusions,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du 12 septembre 1979 d'organisation judiciaire; RSV 173.01]). Formé en temps utile par une partie qui y a intérêt (art. 59 al. 2 let. a CPC) et portant sur des conclusions supérieures à 10'000 fr., le présent 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w:t>
      </w:r>
    </w:p>
    <w:p>
      <w:r>
        <w:rPr>
          <w:b/>
        </w:rPr>
        <w:t>E. 3</w:t>
      </w:r>
    </w:p>
    <w:p>
      <w:r>
        <w:t>Seule l’attribution de l’appartement conjugal est présentement litigieuse. a) Selon l’art. 176 al. 1 ch. 2 CC (Code civil suisse du 10 décembre 1907; RS 210), à la requête d’un des conjoints et si la suspension de la vie commune est fondée, le juge prend les mesures en ce qui concerne le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(ATF 120 II 1 c. 2c, JT 1996 I 323). b) L’appelant fait valoir que l’appréciation du premier juge est infirmée par la réalité des faits. Il invoque à cet égard, d'une part, sa situation financière précaire, au regard de l’extrait des registres de l’Office des poursuites du district de Lausanne du</w:t>
      </w:r>
    </w:p>
    <w:p>
      <w:r>
        <w:rPr>
          <w:b/>
        </w:rPr>
        <w:t>E. 5</w:t>
      </w:r>
    </w:p>
    <w:p>
      <w:r>
        <w:t>Le recours étant dépourvu de chances de succès, la requête d'assistance judiciaire doit être rejetée (art. 117 let. b CPC). L’appelant, qui succombe, supportera en conséquence les frais de la présente procédure, arrêtés à 600 fr. (art. 106 al. 1 CPC et 65 al. 2 TFJC [tarif des frais judiciaires en matière civile du 28 septembre 2010; RSV 270.11.5]). L'intimée n'ayant pas été invitée à se déterminer, il n’y a pas lieu d’allouer de dépens. Par ces motifs, la juge déléguée de la Cour d’appel civile du Tribunal cantonal, statuant à huis clos, en application de l'art. 312 al. 1 CPC, prononce : I. L’appel est rejeté. II. Le jugement est confirmé. III. La requête d'assistance judiciaire de l'appelant T.________ est rejetée. IV. Les frais judiciaires de deuxième instance, arrêtés à 600 fr. (six cents francs), sont mis à la charge de l'appelant. V. L'arrêt motivé est exécutoire. La juge déléguée : La greffière : Du 30 juillet 2012 Le dispositif de l'arrêt qui précède est communiqué par écrit aux intéressés. La greffière : Du L'arrêt qui précède, dont la rédaction a été approuvée à huis clos, est notifié en expédition complète, par l'envoi de photocopies, à : ‑ Me Jean-Pierre Bloch (pour T.________) ‑ Me Charlotte Iselin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