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479 vom 19. Juli 2012</w:t>
      </w:r>
    </w:p>
    <w:p>
      <w:r>
        <w:t>VD Tribunal cantonal, 2012-07-19, FR</w:t>
      </w:r>
    </w:p>
    <w:p>
      <w:r>
        <w:rPr>
          <w:b/>
        </w:rPr>
        <w:t xml:space="preserve">Quelle: </w:t>
      </w:r>
      <w:r>
        <w:t>https://mcp.opencaselaw.ch/entscheid/vd_findinfo_HC___2012___479</w:t>
      </w:r>
    </w:p>
    <w:p>
      <w:r>
        <w:t>FR: VD_FINDINFO HC / 2012 / 479 du 19 juillet 2012</w:t>
      </w:r>
    </w:p>
    <w:p>
      <w:r>
        <w:t>IT: VD_FINDINFO HC / 2012 / 479 del 19 luglio 2012</w:t>
      </w:r>
    </w:p>
    <w:p>
      <w:pPr>
        <w:pStyle w:val="Heading2"/>
      </w:pPr>
      <w:r>
        <w:t>Regeste</w:t>
      </w:r>
    </w:p>
    <w:p>
      <w:r>
        <w:t>OBLIGATION D'ENTRETIEN, MAJORITÉ{ÂGE}, ENFANT, DÉCISION EXÉCUTOIRE, INTÉRÊT DIGNE DE PROTECTION, ACTION EN PAIEMENT D'ENTRETIEN, ACTION EN MODIFICATION | 59 al. 1 CPC (CH), 59 al. 2 let. a CPC (CH), 60 CPC (CH)</w:t>
      </w:r>
    </w:p>
    <w:p>
      <w:pPr>
        <w:pStyle w:val="Heading2"/>
      </w:pPr>
      <w:r>
        <w:t>Erwägungen</w:t>
      </w:r>
    </w:p>
    <w:p>
      <w:r>
        <w:rPr>
          <w:b/>
        </w:rPr>
        <w:t>E. 1</w:t>
      </w:r>
    </w:p>
    <w:p>
      <w:r>
        <w:t>L’appel est recevable contre les ordonnances de mesures provisionnelles (art. 308 aI. 1 let. b CPC [Code de procédure civile du 19 décembre 2010; RS 272]), dans les causes non patrimoniales ou dont la valeur litigieuse est supérieure à 10'000 fr. (art. 308 aI. 2 CPC). Les ordonnances de mesures provisionnelles étant régies par la procédure sommaire, selon l’art. 248 let. d CPC, le délai pour l’introduction de l’appel est de dix jours (art. 314 al. 1 CPC). En l’espèce, l’appel a été formé en temps utile et porte sur des conclusions qui, capitalisées selon l’art. 92 al. 1 CPC, sont supérieures à 10'000 fr., de sorte qu’il est recevable au regard des art. 314 et 318 CPC, pour autant que l’appelant puisse se prévaloir d’un intérêt digne de protection à obtenir la modification de l’ordonnance attaquée (art. 59 al. 2 let. a CPC; cf. c. 3c infra). Un membre de la Cour d’appel civile statue comme juge unique sur les appels formés contre les décisions sur mesures provisionnelles et sur mesures protectrices de l’union conjugale (art. 84 al. 2 LOJV [loi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a) Selon l’art. 59 al. 1 CPC, le tribunal n’entre en matière que sur les demandes et les requêtes qui satisfont aux conditions de recevabilité de l’action, parmi lesquelles on trouve la condition que le litige ne fasse pas l’objet d’une décision entrée en force (art. 59 al. 2 let. e CPC). En effet, les parties n’ont pas d’intérêt juridique digne de protection à soumettre une nouvelle fois à la justice une contestation déjà tranchée (ATF 105 II 149 c. 3, JT 1980 I 177; ATF 112 lI 268 c. 1.1, JT 1987 I 241; ATF 121 II 474 c. 2, JT 1996 I 230). Faute d’intérêt, la demande nouvelle doit donc être déclarée irrecevable en vertu du principe « ne bis in idem »; l’absence de jugement entré en force portant sur une prétention identique ou contraire est donc une condition de recevabilité (Bohnet, CPC commenté, Bâle 2011, n. 104 ad art. 59 CPC). Aux termes de l’art. 60 al. 1 CPC, le tribunal examine d’office si les conditions de recevabilité sont remplies. L’existence d’une décision entrée en force (art. 59 al. 2 let. e CPC) doit ainsi être relevée d’office – par le tribunal ou par le juge saisi d’un appel, vu le plein pouvoir d’examen en fait et en droit dont celui-ci dispose (cf. c. 2 supra; Bohnet, op. cit., n. 12 ad art. 60 CPC) – dans la mesure où les circonstances qui la fondent ressortent du dossier ou qu’elles parviennent au juge de toute autre manière, par exemple parce que la première cause a été jugée par le même tribunal (Bohnet, op. cit., n. 136 ad art. 59 CPC et les références citées). En l’espèce, dans la convention sur les effets du divorce signée par les époux W.________ les 10 et 28 novembre 2002, A.W.________ s’est engagé notamment à contribuer à l’entretien de sa fille H.W.________ par le versement d’une pension mensuelle d’un montant de 1'900 fr. jusqu’à l’âge de 15 ans révolus et de 2'000 fr. dès lors et jusqu’à la majorité ou jusqu’à la fin de la formation professionnelle si les conditions de l’art. 277 al. 2 CC étaient remplies. Cette convention a été ratifiée par la Présidente du Tribunal civil de l’arrondissement de l’Est vaudois pour faire partie du jugement de divorce du 27 juin 2003, lequel est entré en force de chose jugée. Or, par la ratification, la convention devient partie intégrante du jugement; elle participe à la force de chose jugée de celui-ci (TF 5A_464/2008 du 15 décembre 2008 c. 2.3). b) 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aI. 1, 2 e phrase, CC; cf. déjà art. 156 al. 2 aCC et 14 CC, dans leur teneur selon la loi fédérale du 7 octobre 1994 entrée en vigueur le 1 er janvier 1996, RO 1995 1126). Par conséquent, lorsque, dans le jugement de divorce, une contribution à l’entretien de l’enfant a été fixée pour la période allant au-delà de l’accès à la majorité, cette contribution est due à l’enfant dès que celui-ci a accédé à la majorité (ATF 129 III 55 c. 3.1.4). Le parent débiteur de la contribution doit la payer sur la base du jugement de divorce entré en force; s’il estime que les conditions de l’art. 277 al. 2 CC ne sont pas remplies, il lui incombe d’ouvrir action en modification du jugement de divorce contre l’enfant majeur (TF 5A_18/2011 du 1 er juin 2011 c. 5.1, 5.1.2 et 5.2 et les références citées; TF 5A_464/2008 du 15 décembre 2008). En l’espèce, comme il a déjà été statué sur la contribution d’entretien due par A.W.________ à H.W.________ dès l’accès de celle-ci à la majorité dans le jugement de divorce du 27 juin 2003, qui est entré en force et ne peut le cas échéant être modifié que par une action en modification du jugement de divorce, sur la base de l’art. 286 al. 2 CC (TF 5A_464/2008 du 15 décembre 2008 c. 3, TF 5A_18/2011 du 1 er juin 2011) – étant précisé qu’une telle action peut être ouverte par le parent débiteur, notamment s’il estime que les conditions de l’art. 277 al. 2 CC ne sont pas remplies, ou par l’enfant majeur, s’il entend obtenir une augmentation de la contribution d’entretien fixée dans le jugement de divorce (ATF 112 Il 199 c. 2b) –, la requête en action alimentaire déposée le 16 décembre 2011 par H.W.________ à l’encontre de A.W.________ se heurte à l’autorité de la chose jugée du jugement de divorce et apparaît de ce fait irrecevable. Dans ces conditions, la Présidente du Tribunal civil de l’arrondissement de l’Est vaudois n’aurait pas dû entrer en matière sur la requête de mesures provisionnelles déposée le 25 janvier 2012 par H.W.________. c) Cela étant, en disant que A.W.________ devait contribuer à l’entretien de sa fille H.W.________ par le régulier versement, d’avance le premier de chaque mois en mains de H.W.________, d’un montant de 2'000 fr., allocations familiales non comprises, dès la majorité de celle-ci, atteinte le [...] 2011, la Présidente du Tribunal civil de l’arrondissement de l’Est vaudois n’a en rien modifié matériellement la situation découlant du jugement de divorce du 27 juin 2003, en vertu duquel A.W.________ doit, tant que ce jugement de divorce n’a pas été modifié, verser à H.W.________, après que celle-ci a atteint sa majorité, une contribution d’entretien de 2'000 fr. par mois, allocations familiales non comprises, jusqu’à l’achèvement de sa formation professionnelle au sens de l’art. 277 al. 2 CC. Dans ces circonstances, A.W.________ n’a pas d’intérêt digne de protection (art. 59 al. 2 let. a CPC) à obtenir la modification de l’ordonnance attaquée, dans la mesure où l’obligation que cette décision constate découle de toute manière du jugement de divorce du 27 juin 2003. Par conséquent, son appel doit être déclaré irrecevable.</w:t>
      </w:r>
    </w:p>
    <w:p>
      <w:r>
        <w:rPr>
          <w:b/>
        </w:rPr>
        <w:t>E. 4</w:t>
      </w:r>
    </w:p>
    <w:p>
      <w:r>
        <w:t>Il résulte de ce qui précède que l’appel doit être déclaré irrecevable dans la procédure de l’art. 312 al. 1 CPC. L’appelant, qui succombe, supportera les frais judiciaires de deuxième instance (art. 106 al. 1 CPC), qui doivent être arrêtés à 600 fr. (art. 65 al. 2 TFJC [tarif des frais judiciaires en matière civile du 28 septembre 2010; RSV 270.11.5]) et sont compensés avec l’avance de frais de fournie (art. 111 al. 1 CPC). Il n’y a pas lieu d’allouer de dépens, dès lors que l’intimée n’a pas été invitée à se déterminer sur l’appel et n’a donc pas encouru de frais pour la procédure de deuxième instance (art. 95 al. 3 CPC). Par ces motifs, le juge délégué de la Cour d’appel civile du Tribunal cantonal, statuant à huis clos, en application de l'art. 312 al. 1 CPC, prononce : I. L’appel est irrecevable. II. Les frais judiciaires de deuxième instance, arrêtés à 600 fr. (six cents francs), sont mis à la charge de l'appelant A.W.________. III. Il n'est pas alloué de dépens de deuxième instance. IV. L'arrêt motivé est exécutoire. Le juge délégué : La greffière : Du 23 juillet 2012 Le dispositif de l'arrêt qui précède est communiqué par écrit aux intéressés. La greffière : Du L'arrêt qui précède, dont la rédaction a été approuvée à huis clos, est notifié en expédition complète, par l'envoi de photocopies, à : ‑ Me Irène Wettstein Martin (pour A.W.________) ‑ Me Alain Dubuis (pour H.W.________)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