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478 vom 6. Juli 2012</w:t>
      </w:r>
    </w:p>
    <w:p>
      <w:r>
        <w:t>VD Tribunal cantonal, 2012-07-06, FR</w:t>
      </w:r>
    </w:p>
    <w:p>
      <w:r>
        <w:rPr>
          <w:b/>
        </w:rPr>
        <w:t xml:space="preserve">Quelle: </w:t>
      </w:r>
      <w:r>
        <w:t>https://mcp.opencaselaw.ch/entscheid/vd_findinfo_HC___2012___478</w:t>
      </w:r>
    </w:p>
    <w:p>
      <w:r>
        <w:t>FR: VD_FINDINFO HC / 2012 / 478 du 6 juillet 2012</w:t>
      </w:r>
    </w:p>
    <w:p>
      <w:r>
        <w:t>IT: VD_FINDINFO HC / 2012 / 478 del 6 luglio 2012</w:t>
      </w:r>
    </w:p>
    <w:p>
      <w:pPr>
        <w:pStyle w:val="Heading2"/>
      </w:pPr>
      <w:r>
        <w:t>Regeste</w:t>
      </w:r>
    </w:p>
    <w:p>
      <w:r>
        <w:t>MESURE PROVISIONNELLE, OBLIGATION D'ENTRETIEN | 277 al. 2 CC, 286 al. 2 CC, 261 al. 1 CPC (CH)</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En l’espèce, formé en temps utile et portant sur des conclusions qui, capitalisées selon l’art. 92 al. 1 CPC, sont supérieures à 10’000 fr., le présent appel est recevable. Un membre de la Cour d’appel civile statue comme juge unique sur les appels formés contre les décisions sur mesures provisionnelles et sur mesures protectrices de l’union conjugale (art. 84 al. 2 LOJV [loi du 12 septembre 1979 d'organisation judiciaire;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L'intimé demande une seconde audition du témoin Y.________. Celle-ci n'a toutefois pas lieu d'être, dès lors que ledit témoin a déjà été entendu en première instance et que l'intimé et son conseil, tous deux présents lors de l'audience de mesures provisionnelles du 8 mars 2012, avaient tout loisir de poser des questions complémentaires s'ils l'estimaient utile.</w:t>
      </w:r>
    </w:p>
    <w:p>
      <w:r>
        <w:rPr>
          <w:b/>
        </w:rPr>
        <w:t>E. 3</w:t>
      </w:r>
    </w:p>
    <w:p>
      <w:r>
        <w:t>a) Lorsque, dans le jugement de divorce, une contribution à l’entretien de l’enfant a été fixée pour la période postérieure à la majorité, cette contribution est due à l’enfant dès que celui-ci a accédé à la majorité (ATF 129 III 55 c. 3.1.4). Le parent débiteur de la contribution qui estime que les conditions de l’art. 277 al. 2 CC (Code civil suisse du 10 décembre 1907; RS 210) ne sont pas remplies peut ouvrir action en modification du jugement de divorce contre l’enfant majeur, conformément à l’art. 286 al. 2 CC (TF 5A_18/2011 du 1 er juin 2011 c. 5.1.2 et 5.2 et les références citées; TF 5A_464/2008 du 15 décembre 2008 c. 3). b) Aux termes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 4.1.1; ATF 131 III 189 c. 2.7.4; ATF 120 II 177 c. 3a; ATF 120 II 285 c. 4b), parmi lesquelles figure la détérioration, depuis le jugement de divorce, des relations personnelles entre le parent et l'enfant majeur (TF 5A_464/2008 du 15 décembre 2008 c. 3.1 ; Hegnauer, Berner Kommentar, 4 e éd., 1997, n. 81 ad art. 286 CC; Breitschmid, Basler Kommentar, 3 e éd., 2006-2007, n. 14 ad art. 286 CC).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l'enfant doit avoir violé gravement (ATF 111 II 411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 2; ATF 120 II 177 c. 3c et les arrêts cités; TF 5A_560/2011 du 25 novembre 2011 c. 4.1.1 ; TF 5A_464/2008 du 15 décembre 2008 c. 3.1; TF 5C_205/2004 du 8 novembre 2004 c. 5.1, in FamPra.ch 2005 p. 414).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ATF 117 II 127 c. 3b; ATF 129 III 375 c. 4.2; TF 5A_560/2011 du 25 novembre 2011 c. 4.1.1; TF 5A_464/2008 du 15 décembre 2008 c. 3.1; TF 5C_205/2004 du 8 novembre 2004 c. 5.1, in FamPra.ch 2005 p. 414). Par analogie avec les art. 125 al. 3 et 329 al. 2 CC, la doctrine admet que la contribution d'entretien due sur la base de l'art. 277 al. 2 CC puisse être réduite dans son montant ou sa durée, compte tenu de l'ensemble des circonstances, notamment en raison de la rupture des relations personnelles sans faute exclusive imputable au parent débiteur d'aliments ou à l'enfant majeur (Schnyder, Die privatrechtliche Rechtsprechung des Bundesgerichts im Jahre 1985, in : RJB 1987, let. m p. 109 ss, p. 111; Hegnauer, op. cit., n. 135 ss, spéc. n. 140 ad art. 277 CC; Hegnauer, Die Dauer der elterlichen Unterhaltspflicht, in : Festschrift für Max Keller zum 65. Geburtstag, Zurich 1989, n. 3.2.4 p. 29; Meier/Stettler, Droit civil suisse, Droit de la filiation, 4 e éd., 2009, n. 1099; D. Piotet, Commentaire Romand, 2010, n. 16 in fine ad art. 277 CC; Hausheer/Verde, Mündigenunterhalt, in : Jusletter 15 février 2010, n. 54). Cette interprétation de l'art. 277 al. 2 CC est confortée par le Message du Conseil fédéral du 5 juin 1974 concernant la modification du code civil suisse (Filiation), à teneur duquel « [l]es facteurs importants sont, à côté des prestations déjà fournies par les parents, leur situation économique actuelle, les dépenses qu'ils font pour d'autres enfants et les rapports entre parents et enfant. Si l'enfant n'a pas donné aux parents l'aide et les égards qu'il leur doit (art. 272 du projet), les parents sont déliés en tout ou partie de cette obligation supplémentaire » (FF 1974 II 1 ss, p. 58). Pour sa part, le Tribunal fédéral a laissé ouverte la question de la réduction du montant de la contribution d'entretien dans le cadre de l'art. 277 al.  2 CC (ATF 111 II 413 c. 5a; TF 5A_560/2011 du 25 novembre 2011 c. 4.1.1 et les arrêts cités). c) Aux termes de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une jurisprudence constante, la suppression à titre provisionnel d'une contribution d'entretien dans le cadre d'une procédure de modification de jugement de divorce n'est admise que de façon restrictive, ne devant pas avoir pour effet de vider le procès au fond de son contenu (TF 5A_66/2011 du 7 juin 2011 c. 3.2 in fine), et présuppose une urgence et des circonstances particulières (ATF 118 II 228; TF 5P_101/2005 du 12 août 2005 c. 3; TF 5P_226/2001 du 9 août 2001 c. 2a; Tappy, Commentaire romand, n. 4 ad art. 137 CC; Juge délégué CACI 26 janvier 2012/47 c. 3b/bb). Une telle modification à titre provisionnel ne doit être admise le cas échéant qu’avec la plus grande réserve, dès lors qu’on est en présence d’un jugement entré en force et exécutoire qui continue de déployer ses effets tant que le jugement de modification n’est pas à son tour entré en force (TF 5P_226/2001 du 9 août 2001 c. 2a ; Lüchinger/Geiser, Basler Kommentar, n. 30 ad art. 153 aCC et n. 21 ad art. 157 aCC; Sutter/Freiburghaus, Kommentar zum neuen Scheidungs- recht, Zürich 1999, n. 53 ad art. 134 CC et n. 5 ad art. 137 CC). Il faut tenir compte non seulement des intérêts du débiteur d’entretien, demandeur au procès en modification, mais également de ceux du créancier d’entretien, défendeur au procès en modification (ATF 118 II 228 c. 3b; TF 5P_226/2001 du 9 août 2001 c. 2a; TF 5P_101/1994 du 31 mai 1994 c. 5). Des mesures provisionnelles dans un procès en modification ne peuvent ainsi être ordonnées que sur la base de circonstances de fait liquides, qui permettent d’évaluer de manière suffisamment fiable l’issue prévisible du procès au fond (TF 5P_415/2004 du 5 janvier 2005 c. 3.1; TF 5P_349/2001 du 6 novembre 2001 c. 4 et TF 5P_269/2004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5P_415/2004 du 5 janvier 2005 c. 3.1; ATF 118 II 378 c. 3b; ATF 120 II 393 c. 4c). En outre, le débiteur d’entretien, demandeur au procès en modification, qui requiert la réduction ou la suppression de la contribution d’entretien à titre provisionnel doit rendre vraisemblable, conformément à l’art. 261 al. 1 let. b CPC,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w:t>
      </w:r>
    </w:p>
    <w:p>
      <w:r>
        <w:rPr>
          <w:b/>
        </w:rPr>
        <w:t>E. 4</w:t>
      </w:r>
    </w:p>
    <w:p>
      <w:r>
        <w:t>a) En l’espèce, B.R.________ a notamment allégué à l’appui de sa requête de mesures provisionnelles que, le samedi 12 novembre 2011, A.R.________, par l’intermédiaire de tiers, avait demandé à voir d’urgence son père, le jour même du départ de celui-ci pour l’étranger, et qu’à cette occasion, A.R.________ aurait reconnu avoir mal agi et se serait engagé à retirer sa poursuite, comme il l’avait déjà promis à plusieurs reprises. Dans le cadre des mesures provisionnelles, seul un témoin, Y.________, parrain des deux frères de A.R.________, a été entendu comme témoin (cf. supra, let. C, ch. 9). Force est ainsi de constater que le seul témoin entendu s’est exprimé sur une tentative avortée de réconciliation entre les parties qui a eu lieu le 12 novembre 2011, soit près d’une année après que l’intimé avait cessé unilatéralement de verser la contribution à l’entretien de son fils. S’il ressort de ce témoignage que l’échec de cette tentative de réconciliation est plutôt à mettre sur le compte de l’appelant, le témoin n’a fait état d’aucun élément objectif qui permettrait de retenir que c’est l’appelant qui aurait provoqué fautivement la rupture des relations personnelles par son refus injustifié d'entretenir celles-là, son attitude gravement querelleuse ou son hostilité profonde, et que la cessation brutale du paiement par l’intimé de toute contribution d’entretien n’aurait été que la conséquence, et non une cause, de la rupture des relations personnelles entre les parties. Le témoin s’est en effet borné à indiquer que selon lui, c’était l’intimé qui avait pris la décision de la rupture avec son père, sans que l’on sache quand, dans quelles circonstances et pour quels motifs. Par ailleurs, le fait que l’appelant ait déclaré regretter les poursuites intentées contre son père ne démontre pas que la rupture des relations personnelles lui serait imputable à faute exclusive; en effet, par ces poursuites, consécutives à la cessation de tout paiement par l’intimé, l’appelant se limitait à faire valoir ses droits fondés sur le jugement de divorce du 19 mai 2004, qui continuait de déployer ses effets dans la mesure où aucun jugement de modification ni aucunes mesures provisionnelles dans un procès en modification n’avaient été rendus. Quant aux courriers, adressés soit à A.R.________ directement, soit à son conseil, dans lesquels B.R.________ manifeste le souhait de renouer le contact avec son fils, ils témoignent certes de l’attachement incontestable de l’intimé pour son fils – que confirme le fait qu’à l’audience de mesures provisionnelles du 8 mars 2012, à laquelle l’appelant n’a pas été en mesure de comparaître en raison de problèmes de santé attestés par un certificat médical, B.R.________ a paru très affecté par le fait qu’il n’avait plus de contacts avec son fils – et de sa volonté de renouer le contact, mais ne constituent pas des éléments objectifs qui permettraient à ce stade de retenir que c’est l’appelant qui aurait provoqué fautivement la rupture des relations personnelles. b) En outre, l’intimé, qui réalise un revenu de l’ordre de 25'000 fr. par mois et dont la fortune a encore augmenté depuis le jugement de divorce, admet avoir largement les moyens de s’acquitter de la contribution d’entretien de 2'600 fr. par mois fixée en faveur de l’appelant par le jugement de divorce du 19 mai 2004. Le maintien de cette contribution pendant la durée du procès en modification n’est ainsi pas de nature à provoquer un préjudice économique difficilement réparable, l’intimé conservant la faculté de répéter les sommes qu’il aurait indûment versées. C’est bien plutôt à l’appelant que l’admission de la requête de mesures provisionnelles causerait un préjudice difficilement réparable, dès lors que celui-ci, âgé de 19 ans et poursuivant régulièrement des études secondaires, n’est pas en mesure de subvenir à son propre entretien par le produit de son travail ou par d’autres ressources.</w:t>
      </w:r>
    </w:p>
    <w:p>
      <w:r>
        <w:rPr>
          <w:b/>
        </w:rPr>
        <w:t>E. 5</w:t>
      </w:r>
    </w:p>
    <w:p>
      <w:r>
        <w:t>a) Il résulte de ce qui précède que les conditions qui justifieraient exceptionnellement de supprimer déjà pendant la procédure de modification, à titre provisionnel, la contribution d’entretien de 2'600 fr. par mois due par l’intimé à son fils sur la base du jugement de divorce exécutoire du 19 mai 2004 ne sont pas réunies en l’espèce. L’appel, fondé, doit dès lors être admis et l’ordonnance attaquée réformée en ce sens que la requête de mesures provisionnelles déposée le 30 novembre 2011 par B.R.________ est rejetée, de sorte que l’intimé continue de devoir payer à l’appelant la contribution d’entretien de 2'600 fr. par mois fixée par le jugement de divorce du 19 mai 2004 jusqu’à droit connu sur le fond du procès en modification. b) Vu l’issue de l’appel, les frais judiciaires de la procédure de deuxième instance, qui doivent être arrêtés à 600 fr. (art. 65 al. 2 TFJC [tarif des frais judiciaires en matière civile du 28 septembre 2010; RSV 270.11.5]), sont mis à la charge de l’intimé, qui succombe (art. 106 al. 1 CPC). L’intimé versera en outre à l’appelant un montant de 1'200 fr. à titre de dépens de deuxième instance (art. 95 al. 3 et 106 al. 1 CPC; art. 3 al. 1 et 12 TDC [tarif du 23 novembre 2010 des dépens en matière civile; RSV 270.11.6]). Pour le cas où ces dépens ne pourraient pas être obtenus de la partie adverse, l’indemnité d’office de Me Lorrraine Ruf, conseil d’office de l’appelant, pour la procédure de deuxième instance sera arrêtée à 928 fr. 80, comprenant un défraiement de 810 fr., des débours de 50 fr. et la TVA sur ces montants par 68 fr. 80 (art. 122 al. 2 CPC; art. 2 al. 1 RAJ [Règlement du 7 décembre 2010 sur l’assistance judiciaire en matière civile; RSV 211.02.3]). Par ces motifs, le juge délégué de la Cour d’appel civile du Tribunal cantonal, statuant à huis clos, prononce : I. L’appel est admis. II. L'ordonnance est réformée comme suit aux chiffres I et II de son dispositif : I. la requête de mesures provisionnelles déposée le 30 novembre 2011 par B.R.________ est rejetée. II. (supprimé). L'ordonnance est confirmée pour le surplus. III. Les frais judiciaires de deuxième instance, arrêtés à 600 fr. (six cents francs), sont mis à la charge de l'intimé. IV. L'intimé B.R.________ versera à l'appelant A.R.________ la somme de 1'200 fr. (mille deux cents francs) à titre de dépens de deuxième instance. V. L'indemnité d'office de Me Lorraine Ruf, conseil d'office de l'appelant A.R.________, est arrêtée à 928 fr. 80 (neuf cent vingt-huit francs et huitante centimes), TVA et débours compris. VI. L'arrêt est exécutoire. Le juge délégué : La greffière : Du L'arrêt qui précède, dont la rédaction a été approuvée à huis clos, est notifié en expédition complète, par l'envoi de photocopies à : ‑ Me Lorraine Ruf (pour A.R.________) ‑ Me Denis Bridel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