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476 vom 29. Juni 2012</w:t>
      </w:r>
    </w:p>
    <w:p>
      <w:r>
        <w:t>VD Tribunal cantonal, 2012-06-29, FR</w:t>
      </w:r>
    </w:p>
    <w:p>
      <w:r>
        <w:rPr>
          <w:b/>
        </w:rPr>
        <w:t xml:space="preserve">Quelle: </w:t>
      </w:r>
      <w:r>
        <w:t>https://mcp.opencaselaw.ch/entscheid/vd_findinfo_HC___2012___476</w:t>
      </w:r>
    </w:p>
    <w:p>
      <w:r>
        <w:t>FR: VD_FINDINFO HC / 2012 / 476 du 29 juin 2012</w:t>
      </w:r>
    </w:p>
    <w:p>
      <w:r>
        <w:t>IT: VD_FINDINFO HC / 2012 / 476 del 29 giugno 2012</w:t>
      </w:r>
    </w:p>
    <w:p>
      <w:pPr>
        <w:pStyle w:val="Heading2"/>
      </w:pPr>
      <w:r>
        <w:t>Regeste</w:t>
      </w:r>
    </w:p>
    <w:p>
      <w:r>
        <w:t>DEMANDE ADRESSÉE À L'AUTORITÉ, DISPENSE, ACTE DE NON-CONCILIATION, PROCÉDURE DE CONCILIATION | 148 CPC (CH), 206 al. 2 CPC (CH), 319 let. b ch. 2 CPC (CH), 319 let. b CPC (CH)</w:t>
      </w:r>
    </w:p>
    <w:p>
      <w:pPr>
        <w:pStyle w:val="Heading2"/>
      </w:pPr>
      <w:r>
        <w:t>Erwägungen</w:t>
      </w:r>
    </w:p>
    <w:p>
      <w:r>
        <w:rPr>
          <w:b/>
        </w:rPr>
        <w:t>E. 1</w:t>
      </w:r>
    </w:p>
    <w:p>
      <w:r>
        <w:t>a) Il convient en premier lieu d’examiner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Selon la jurisprudence de la cour de céans,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22 mars 2012/117). Contrairement aux cas où le recours est expressément prévu par la loi, notamment l’art. 110 CPC qui prévoit un recours séparé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w:t>
      </w:r>
    </w:p>
    <w:p>
      <w:r>
        <w:rPr>
          <w:b/>
        </w:rPr>
        <w:t>E. 2</w:t>
      </w:r>
    </w:p>
    <w:p>
      <w:r>
        <w:t>La recourante se plaint du fait que le premier juge n’a pas tenu compte de son empêchement signifié par une lettre-fax qu'elle aurait envoyée au greffe du Tribunal d'arrondissement de Lausanne. Selon l’art. 206 al. 2 CPC, lorsque le défendeur fait défaut, l’autorité de conciliation procède comme si la procédure n’avait pas abouti à un accord. Selon l’art. 148 al. 1 CPC, applicable à la procédure de conciliation, le tribunal peut accorder un délai supplémentaire ou citer les parties à une nouvelle audience lorsque la partie défaillante en fait la requête et rend vraisemblable que le défaut ne lui est pas imputable ou n’est imputable qu’à une faute légère. En l'espèce, la seule indication figurant au dossier résulte de la page 4 du procès-verbal des opérations. On constate ainsi que le 22 mai 2012, la recourante a informé le greffe du fait qu’elle ne pourrait se présenter à l’audience de conciliation du 29 mai 2012. En l’absence d’autres pièces, en particulier de la prétendue lettre-fax de la recourante, on ignore si l’absence est due à un événement externe, non imputable à la recourante ou à une faute légère. Or, il appartenait à la recourante de former une requête et d’expliquer en quoi elle ne pouvait comparaître à l’audience de conciliation. En l’absence d’indication, le premier juge pouvait considérer que le défaut annoncé de la recourante n’était pas excusable et appliquer l’art. 206 al. 2 CPC. Il s’ensuit que le deuxième moyen doit être rejeté et, avec lui, l’intégralité du recours dans la mesure de sa recevabilité.</w:t>
      </w:r>
    </w:p>
    <w:p>
      <w:r>
        <w:rPr>
          <w:b/>
        </w:rPr>
        <w:t>E. 3</w:t>
      </w:r>
    </w:p>
    <w:p>
      <w:r>
        <w:t>En conclusion, le recours doit être rejeté, en application de l’art. 322 al. 1 CPC, et la décision confirmée. Les frais judiciaires de deuxième instance, arrêtés à 100 fr. (art. 69 al. 1 TFJC [Tarif des frais judiciaires civils du 28 septembre 2010, RSV 270.11.5]), sont mis à la charge de la recourante qui succombe (art. 106 al. 1 CPC), Il n’y a pas matière à l’allocation de dépens de deuxième instance, les intimés n’ayant pas été invités à se déterminer. Par ces motifs, la Chambre des recours civile du Tribunal cantonal, statuant à huis clos, en application de l'art. 322 al. 1 CPC, prononce : I. Le recours est rejeté en tant qu'il est recevable. II. Le jugement est confirmé. III. Les frais judiciaires de deuxième instance, arrêtés à 100 fr. (cent francs), sont mis à la charge de la recourante J.________Sàrl. IV. L'arrêt motivé est exécutoire. Le président :               Le greffier : Du 29 juin 2012 Le dispositif de l'arrêt qui précède est communiqué par écrit aux intéressés. Le greffier : Du L'arrêt qui précède, dont la rédaction a été approuvée à huis clos, est notifié en expédition complète, par l'envoi de photocopies, à : ‑ à la société J.________Sàrl, ‑ Me Michel Rossinelli (pour I.________, A.T.________ et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