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475 vom 20. Juni 2012</w:t>
      </w:r>
    </w:p>
    <w:p>
      <w:r>
        <w:t>VD Tribunal cantonal, 2012-06-20, FR</w:t>
      </w:r>
    </w:p>
    <w:p>
      <w:r>
        <w:rPr>
          <w:b/>
        </w:rPr>
        <w:t xml:space="preserve">Quelle: </w:t>
      </w:r>
      <w:r>
        <w:t>https://mcp.opencaselaw.ch/entscheid/vd_findinfo_HC___2012___475</w:t>
      </w:r>
    </w:p>
    <w:p>
      <w:r>
        <w:t>FR: VD_FINDINFO HC / 2012 / 475 du 20 juin 2012</w:t>
      </w:r>
    </w:p>
    <w:p>
      <w:r>
        <w:t>IT: VD_FINDINFO HC / 2012 / 475 del 20 giugno 2012</w:t>
      </w:r>
    </w:p>
    <w:p>
      <w:pPr>
        <w:pStyle w:val="Heading2"/>
      </w:pPr>
      <w:r>
        <w:t>Regeste</w:t>
      </w:r>
    </w:p>
    <w:p>
      <w:r>
        <w:t>CONFORMITÉ À LA ZONE, VENTE D'IMMEUBLE, ERREUR ESSENTIELLE, PERMIS D'HABITER, RÉSIDENCE SECONDAIRE | 23 CO, 24 al. 1 ch. 3 CO, 24 al. 1 ch. 4 CO</w:t>
      </w:r>
    </w:p>
    <w:p>
      <w:pPr>
        <w:pStyle w:val="Heading2"/>
      </w:pPr>
      <w:r>
        <w:t>Erwägungen</w:t>
      </w:r>
    </w:p>
    <w:p>
      <w:r>
        <w:rPr>
          <w:b/>
        </w:rPr>
        <w:t>E. 1</w:t>
      </w:r>
    </w:p>
    <w:p>
      <w:r>
        <w:t>Le jugement attaqué a été rendu le 16 décembre 2011, de sorte que les voies de droit sont régies par le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En particulier, l'appel est recevable contre les jugements de la Cour civile dont le dispositif a été communiqué après le 1 er janvier 2011, même si celle-ci était instance cantonale unique en vertu de l'ancien droit (cf. Colombini, Quelques questions de droit transitoire, in JT 2011 III 109, ch. 4 p. 112 et les références). La valeur litigieuse étant supérieure à 10'000 fr., la voie de l'appel est ouverte aux parties. Formé par le défendeur dans le délai de 30 jours dès la notification du jugement motivé (art. 311 al. 1 CPC), le présent appel, dûment motivé, est ainsi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L’appelant affirme que l’état de fait doit être précisé sur deux points: aa) Il demande qu’il soit mentionné que la demanderesse ne voulait pas habiter de façon permanente dans l’immeuble mais qu’elle voulait que l’immeuble soit habitable toute l’année. Il ressort en effet des allégués 14, 15 et 17 que la demanderesse réside au Canada, qu’elle ne souhaitait pas vivre toute l’année dans cette maison, mais qu’elle voulait acheter un immeuble habitable toute l’année, ou pour « l’habitation permanente ». Elle prévoyait en effet d'y vivre lorsqu’elle rendait visite à sa famille et elle pensait surtout y résider en hiver. Le jugement retenant ces éléments, l'état de fait ne doit pas être complété ou précisé sur ce point. bb) Selon l'appelant, l'état de fait doit être complété en mentionnant que le permis d'habiter daté du 15 juillet 1992 ne contient aucune restriction quant à la durée d'occupation pendant l'année et qu'il en va de même de l'autorisation préalable délivrée le 10 mars 1992 par le Service de l'aménagement du territoire du Canton de Vaud qui indique qu'il s'agit de régulariser une situation existante antérieure à la mise en application de la LATC. L'état de fait a été complété dans ce sens.</w:t>
      </w:r>
    </w:p>
    <w:p>
      <w:r>
        <w:rPr>
          <w:b/>
        </w:rPr>
        <w:t>E. 3</w:t>
      </w:r>
    </w:p>
    <w:p>
      <w:r>
        <w:t>a) L’appelant fait valoir, dans un premier moyen, qu’il ne saurait être question d’erreur essentielle. Il affirme que l’appréciation du SDT est hautement contestable dès lors que le logement constitue déjà une habitation permanente et que le permis d’habiter et l’autorisation préalable cantonale jointe à ce permis ne contiennent aucune restriction quant à l’occupation ou à la durée d’occupation du logement, ce qui engendre une situation acquise qui ne saurait être remise en cause. b) A teneur de l’art. 23 CO (Code des obligations du 30 mars 1911, RS 220), un contrat n’oblige pas celle des parties qui, au moment de conclure, se trouvait dans une erreur essentielle. Selon l’art. 24 al. 1 ch. 3 et 4 CO, parmi d’autres cas, il y a erreur essentielle lorsque l’un des cocontractants a promis une prestation notablement plus étendue qu’il ne le voulait (ch. 3), ou lorsqu’il s’est mépris sur des faits qu’il pouvait considérer, du point de vue de la loyauté en affaires, comme des éléments nécessaires du contrat (ch. 4). Dans cette seconde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 3.4.1 p. 531; 135 III 537 c. 2.2). c) En l'espèce, l’appelant perd de vue que l’intimée a acquis un immeuble dont le caractère habitable permanent était certain pour tous les protagonistes, soit les parties et l’agent immobilier qui a servi d’intermédiaire. Il n’a jamais été question de résidence secondaire. Le prix de vente correspond d’ailleurs à un immeuble habitable de manière permanente et non à une résidence secondaire, habitable trois mois par an, et dotée d’un confort limité. Il s’agit manifestement d’un élément essentiel du contrat, tant d’un point de vue objectif que subjectif, reconnaissable pour tous. Le fait que l’appréciation du SDT serait juridiquement contestable ne joue ainsi qu’un rôle secondaire. La demanderesse n’a pas acquis un immeuble dont le statut juridique était incertain ou dont elle devait ou pouvait croire que le statut juridique était douteux. Elle a voulu acquérir un immeuble immédiatement habitable de manière permanente et c'est dans cette optique que la vente s'est réalisée. La position du département constitue à elle seule un fait qui touche un élément nécessaire du contrat, dès lors que ce préavis, fondé ou non, implique qu’une procédure judiciaire soit engagée pour connaître une caractéristique essentielle du bien. En outre, même si la lettre du SDT du 5 mars 2009 ne constitue qu’un préavis et non une décision entrée en force, il a été rendu par l’autorité cantonale compétente en matière de constructions hors de la zone à bâtir. Rien ne permet de supposer que cette autorité allait changer d’avis et rendre une décision autorisant les travaux. De plus, on ne peut pas, en l’état, considérer que ce préavis est hautement contestable, comme l’affirme l’appelant, et qu’un tribunal rendrait à l’évidence un jugement autorisant les travaux. En effet, selon l’art. 24c LAT (Loi fédérale du 22 juin 1979 sur l’aménagement du territoire, RS 700)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RS 700.1; ATF 127 II 209 c. 2c), soit avant le 1 er juillet 1972, date de l’entrée en vigueur de la loi fédérale du 8 octobre 1971 sur la protection des eaux contre la pollution qui a introduit expressément le principe de la séparation du territoire bâti et non bâti (ATF 129 Il 396 c. 4.2.1). Ces dispositions ont donné lieu à une abondante jurisprudence fédérale et leur application est loin d’être simple (cf. notamment Muggli, Commentaire de la loi fédérale sur l’aménagement du territoire, n. 10 à 31 ad art. 24c LAT). En l’occurrence, on ignore quand l’immeuble a été rendu habitable de manière permanente, mais tout porte à croire, selon les renseignements figurant dans le préavis du</w:t>
      </w:r>
    </w:p>
    <w:p>
      <w:r>
        <w:rPr>
          <w:b/>
        </w:rPr>
        <w:t>E. 5</w:t>
      </w:r>
    </w:p>
    <w:p>
      <w:r>
        <w:t>En définitive, l’appel doit être rejeté en application de l'art. 312 al. 1 CPC, et le jugement confirmé. Les frais judiciaires de deuxième instance, arrêtés à 4'000 fr. (art. 69 al. 1 TFJC [Tarif des frais judiciaires civils du 28 septembre 2010, RSV 270.11.5]), sont mis à la charge de l’appelant qui succombe (art. 106 al. 1 CPC).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