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467 vom 19. Juli 2012</w:t>
      </w:r>
    </w:p>
    <w:p>
      <w:r>
        <w:t>VD Tribunal cantonal, 2012-07-19, FR</w:t>
      </w:r>
    </w:p>
    <w:p>
      <w:r>
        <w:rPr>
          <w:b/>
        </w:rPr>
        <w:t xml:space="preserve">Quelle: </w:t>
      </w:r>
      <w:r>
        <w:t>https://mcp.opencaselaw.ch/entscheid/vd_findinfo_HC___2012___467</w:t>
      </w:r>
    </w:p>
    <w:p>
      <w:r>
        <w:t>FR: VD_FINDINFO HC / 2012 / 467 du 19 juillet 2012</w:t>
      </w:r>
    </w:p>
    <w:p>
      <w:r>
        <w:t>IT: VD_FINDINFO HC / 2012 / 467 del 19 luglio 2012</w:t>
      </w:r>
    </w:p>
    <w:p>
      <w:pPr>
        <w:pStyle w:val="Heading2"/>
      </w:pPr>
      <w:r>
        <w:t>Regeste</w:t>
      </w:r>
    </w:p>
    <w:p>
      <w:r>
        <w:t>MESURE DE CONTRAINTE{DROIT DES ÉTRANGERS}, DÉTENTION AUX FINS D'EXPULSION | 76 al. 1 let. b ch. 3 LEtr, 76 al. 1 let. b ch. 4 LEtr, 76 al. 4 LEtr, 79 LEtr, 80 al. 6 let. a LEtr, 17 LVLEtr, 30 LVLEtr, 31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(art. 30 al. 1 LVLEtr [loi d’application dans le canton de Vaud de la législation fédérale sur les étrangers du 18 décembre 2007, RSV 142.11] ; art. 80 aI. 1 LEtr [loi fédérale sur les étrangers du 16 décembre 2005, RS 142.20]). Il est de la compétence de la Chambre des recours civile (art. 71 et 73 al. 1 LOJV [loi d’organisation judiciaire du 12 décembre 1979, RSV 173.01] et art. 18 aI. 3 let. c ROTC [règlement organique du Tribunal cantonal du 13 novembre 2007 dans sa teneur en vigueur dès le 1 er janvier 2011, selon novelle du 7 décembre 2010, RSV 173.31.1]). Déposé le 28 juin 2012, soit en temps utile, par le recourant qui y a un intérêt, le recours est recevable (art. 30 al. 2 LVLEtr). Il convient d’emblée de relever que ni la LVLEtr ni la LPA-VD (loi sur la procédure administrative du 28 octobre 2008, RSV 173.36) ne permettent au recourant de disposer d’un délai complémentaire pour déposer un mémoire ampliatif. Dès lors, sa conclusion allant dans ce sens doit être rejetée.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pour ordonner la détention administrative au sens de l’art. 15 LVLEtr en vertu de l’art. 17 LVLEtr. Saisi d’une requête motivée et documentée du SPOP du 15 juin 2012,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18 juin 2012 au recourant, soit dans le délai légal de nonante-six heures (art. 16 al. 1 LVLEtr). Par conséquent, la procédure suivie a été régulière.</w:t>
      </w:r>
    </w:p>
    <w:p>
      <w:r>
        <w:rPr>
          <w:b/>
        </w:rPr>
        <w:t>E. 4</w:t>
      </w:r>
    </w:p>
    <w:p>
      <w:r>
        <w:t>a) Le recourant soutient qu’il n’a pas pu s’expliquer sur les craintes qu’il nourrissait en cas de retour en Italie et invoque ainsi une violation de son droit d’être entendu par les autorités administratives. Il ressort au contraire du dossier que l’ODM a entendu le recourant le 19 janvier 2012. Lors de cette audition, le recourant a fait valoir qu’il craignait pour son intégrité corporelle s’il était dirigé vers l’Italie, explications qu’il a renouvelées devant la juge de paix. Son droit d’être entendu a dès lors été respecté. On doit aussi observer que, le 16 septembre 2011, le recourant a signé une déclaration de retour volontaire vers l’Italie. S’il avait craint pour sa vie ou son intégrité corporelle, il n’aurait pas signé une telle déclaration. Pour le surplus, en ce qui concerne la question du caractère exécutable de son renvoi selon l’art. 80 al. 6 let. a LEtr, cette question a été examinée par l’ODM, qui l’a approuvé une seconde fois le 26 janvier 2012, confirmant ainsi la décision du 17 août 2011. En effet,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Le recourant n’a pas recouru contre la décision rendue le 26 janvier 2012 par l’ODM, de sorte que les autorités cantonales sont liées par cette décision fédérale de renvoi, qu’elles sont tenues d’exécuter. Il n’y a pas lieu de revenir sur ce point. Le grief du recourant doit ainsi être rejeté. b) Le recourant invoque qu’il n’est pas opposé à son renvoi de la Suisse, de sorte que l’on ne peut pas considérer qu’il aurait l’intention de se soustraire à la décision de renvoi.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l’espèce, la Cour de céans relève que le recourant a d’abord déclaré vouloir retourner volontairement en Italie, mais que deux jours avant la date fixée pour son vol à destination de Milan, il a changé d’avis affirmant plutôt vouloir rentrer au Maroc ; puis il a disparu quelques semaines avant de déposer une seconde demande d’asile que l’ODM a rejetée. Le comportement adopté par le recourant permet d’affirmer sans l’ombre d’un doute qu’il existe des indices concrets de soustraction au renvoi au sens de la jurisprudence citée ci-dessus. Par conséquent, sa détention administrative est justifiée. c) Le recourant fait également valoir une violation de l’art. 76 al. 4 LEtr, en ce sens que les démarches entreprises pour l’exécution de son renvoi n’auraient pas été entreprises rapidement. Rien n’indiquerait que les démarches administratives fussent entreprises en vue d’obtenir un laissez-passer permettant au recourant de regagner l’Italie, celui délivré en août 2011 arrivant à échéance le 2 janvier 2012. Les démarches entreprises en vue de l’exécution du renvoi se poursuivent sans discontinuer. D’une part, le SPOP a requis le 21 février 2012 que la BRES interpelle le recourant aux fins de pouvoir le soumettre à des mesures de contrainte en vue de son renvoi vers l’Italie. D’autre part, afin de tenir compte du souhait du recourant de retourner plutôt au Maroc qu’en Italie, le SPOP a organisé une audition de ce dernier par les autorités marocaines à Berne le 5 juillet 2012, en vue d’obtenir un laissez-passer. Le SPOP est actuellement dans l’attente de ces résultats. Le refoulement pourra ainsi manifestement être exécuté avant l’échéance maximale de détention de 18 mois prévu par l’art. 79 al. 2 LEtr. Or, ce n’est que lorsque des raisons sérieuses laissent à penser que la mesure d’éloignement ne pourra certainement pas intervenir avant la fin de ce délai légal qu’une détention est inadmissible sous l’angle du principe de la proportionnalité (TF 2A.549/2003 du 3 décembre 2003 c. 2.2). Dès lors, examiné sous l’angle du principe de la célérité, de la diligence et de la proportionnalité, le grief du recourant est infondé. 5. Au vu de ce qui précède, le recours doit être rejeté et l’ordonnance attaquée confirmée. Le présent arrêt peut être rendu sans frais. 6. Selon l’art. 25 al. 1 LVLEtr, lorsque la personne détenue est indigente, le conseil d’office reçoit une indemnité à la charge de la caisse de l’Etat, les dispositions relatives à la rémunération des défenseurs d’office en matière pénale étant applicables. Au regard des opérations accomplies par le conseil d’office, il y a lieu de lui allouer une indemnité d’office arrêtée à 540 fr. (3 heures x 180 fr., art. 135 al. 1 CPP [Code de procédure pénale du 5 octobre 2007, RS 312.0]; par analogie art. 2 RAJ [règlement sur l’assistance judiciaire en matière civile du 7 décembre 2010, RSV 211.02.3]) et des débours arrêtés à 26 fr. 75, TVA au taux de 8% en sus, soit une indemnité d’office de 612 fr. 10, TVA et débours compris. Par ces motifs, la Chambre des recours civile du Tribunal cantonal, statuant à huis clos, prononce : I. Le recours est rejeté. II. L’ordonnance est confirmée. III. L’arrêt est rendu sans frais. IV. Une indemnité de 612 fr. 10 (six cent douze francs et dix centimes) est allouée à Me Thierry de Mestral, conseil d’office du recourant. V. L’arrêt motivé est exécutoire. Le président :               La greffière : Du 20 juillet 2012 Le dispositif de l'arrêt qui précède est communiqué par écrit aux intéressés. La greffière : Du L'arrêt qui précède, dont la rédaction a été approuvée à huis clos, est notifié en expédition complète, par l'envoi de photocopies, à : ‑ Me Thierry de Mestral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