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466 vom 9. Juli 2012</w:t>
      </w:r>
    </w:p>
    <w:p>
      <w:r>
        <w:t>VD Tribunal cantonal, 2012-07-09, FR</w:t>
      </w:r>
    </w:p>
    <w:p>
      <w:r>
        <w:rPr>
          <w:b/>
        </w:rPr>
        <w:t xml:space="preserve">Quelle: </w:t>
      </w:r>
      <w:r>
        <w:t>https://mcp.opencaselaw.ch/entscheid/vd_findinfo_HC___2012___466</w:t>
      </w:r>
    </w:p>
    <w:p>
      <w:r>
        <w:t>FR: VD_FINDINFO HC / 2012 / 466 du 9 juillet 2012</w:t>
      </w:r>
    </w:p>
    <w:p>
      <w:r>
        <w:t>IT: VD_FINDINFO HC / 2012 / 466 del 9 luglio 2012</w:t>
      </w:r>
    </w:p>
    <w:p>
      <w:pPr>
        <w:pStyle w:val="Heading2"/>
      </w:pPr>
      <w:r>
        <w:t>Regeste</w:t>
      </w:r>
    </w:p>
    <w:p>
      <w:r>
        <w:t>PROTECTION DE L'UNION CONJUGALE, OBLIGATION D'ENTRETIEN, CONJOINT, ENFANT, MODIFICATION DES CIRCONSTANCES, IMPORTANCE NOTABLE | 163 al. 1 CC, 176 al. 1 ch. 1 CC, 179 CC, 308 al. 1 let. b CPC (CH), 308 al. 2 CPC (CH), 310 CPC (CH), 317 al. 1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En l'espèce, formé en temps utile par une partie qui y a intérêt et portant sur des conclusions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dès lors que les parties sont parents de deux enfants mineurs, la cause est soumise à la maxime d'office. Les pièces nouvelles produites par les parties en deuxième instance sont donc recevables. c)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w:t>
      </w:r>
    </w:p>
    <w:p>
      <w:r>
        <w:rPr>
          <w:b/>
        </w:rPr>
        <w:t>E. 3</w:t>
      </w:r>
    </w:p>
    <w:p>
      <w:r>
        <w:t>a) Seule est litigieuse la quotité de la contribution d'entretien à la charge de l'époux, le principe du versement d'une telle contribution n'étant pas contesté par l'appelant. Celui-ci conclut ainsi à ce que le montant en soit réduit à 2'500 fr. par mois. Quant à l'intimée, elle conclut au maintien de l'ordonnance entreprise, qui confirme le montant actuel de 4'000 fr. par mois. b) Selon l'art. 176 al. 1 ch. 1 CC (Code civil suisse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TF 5A_205/2010 du 12 juillet 2010 c. 4.2.3, publié in FamPra.ch 2010, p. 894). C'est au créancier de la contribution d'entretien qu'il incombe de préciser les dépenses nécessaires à son train de vie et de les rendre vraisemblables (ATF 115 lI 424 c. 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un partage par moitié ne se justifie ainsi pas si l'un des époux doit subvenir aux besoins d'enfants mineurs (ATF 126 III 8 c. 3c). Selon la jurisprudence, dans le domaine du droit de la famille, le minimum vital du débiteur de l'entretien ne doit pas être entamé (ATF 135 III 66; ATF 133 III 57 c. 3, JT 2007 I 351). c) L'art. 179 CC permet à chaque époux de solliciter la modification des mesures protectrices de l'union conjugale si, depuis l'entrée en vigueur de celles-ci, les circonstances de fait ont changé d'une manière essentielle et durable (Chaix, Commentaire Romand, Code civil I, n. 11 ad art. 173 CC et n. 4 ad art. 179 CC),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Dans ce domaine, le juge dispose d'un large pouvoir d'appréciation en fonction de toutes les circonstances concrètes de chaque cas d'espèce (ibidem, n. 4 ad art. 179 CC et les réf. citées).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5A_883/2011 du 20 mars 2012 c. 2.4; Chaix, op. cit., n. 5 ad art. 179 CC).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Une telle modification déploie ses effets pour l'avenir et prend en principe effet au jour de l'entrée en force de la nouvelle décision; si les circonstances le justifient, le juge a le pouvoir d'accorder un effet rétroactif aux nouvelles mesures; cet effet ne peut en principe remonter à une date antérieure à celle du dépôt de la demande de modification et il n'est accordé qu'en présence de circonstances concrètes qui imposent une telle solution (Chaix, op. cit., n. 6 ad art. 179 CC et les réf. citées; Juge délégué CACI 7 juin 2011/107; Juge délégué CACI 1 er juillet 2011/ 141).</w:t>
      </w:r>
    </w:p>
    <w:p>
      <w:r>
        <w:rPr>
          <w:b/>
        </w:rPr>
        <w:t>E. 4</w:t>
      </w:r>
    </w:p>
    <w:p>
      <w:r>
        <w:t>a) Le montant litigieux de la pension, de 4'000 fr. par mois, a été fixé initialement dans une convention de mesures protectrices de l'union conjugale signée par les parties le 28 mars 2011 et ratifiée sans audience le 30 mai 2011 par le président du tribunal d'arrondissement. L'appelant a payé régulièrement la pension mensuelle convenue, jusqu'au mois de septembre 2011, à partir duquel il ne s'est plus acquitté de son versement; à fin novembre 2011, il a toutefois versé la somme de 4'000 fr., à valoir sur la pension due pour le mois de novembre. Dans le cadre de la procédure ouverte par la requête d'avis aux débiteurs déposée par l'intimée le 10 janvier 2012, l'appelant a conclu, à titre reconventionnel, à la réduction du montant de la pension, d'abord à 2'100 fr. devant le premier juge, puis à 2'500 fr. devant la juge déléguée de la Cour de céans. A l'appui de ses conclusions, il invoque une baisse du revenu tiré de l'exercice de son activité salariée. Dans le poste de travail qu'il occupait jusqu'à son licenciement intervenu le 28 juin 2011, l'appelant percevait un salaire net de 8'300 fr. par mois en chiffres ronds. Depuis le 10 octobre 2011, le salaire mensuel net qu'il perçoit auprès de son employeur actuel s'élève à 5'623 fr. 10. La baisse des revenus du débiteur de la contribution d'entretien est une circonstance susceptible de justifier la modification des mesures protectrices de l'union conjugale au sens de l'art. 179 CC. Il s'agit dès lors d'examiner concrètement si les circonstances de fait d'espèce ont changé d'une manière essentielle et durable, conformément aux principes exposés au c. 3c supra. b) Si le salaire fixe de l'appelant dans son emploi actuel est certes moins élevé qu'auparavant, il convient toutefois de relever que le contrat de travail de l'intéressé prévoit que sa rémunération se compose également d'une part variable correspondant à une participation de 33% aux commissions payées par les clients (hors TVA), qui doit être calculée et versée deux fois par an. C'est en vain que l'appelant fait valoir qu'aucun montant ne lui a été versé à ce titre, comme le confirme son employeur dans une lettre datée du 28 juin 2012. On ne saurait en tirer quoi que ce soit, dès lors que le versement consécutif au calcul de la participation intervient deux fois dans l'année, à des dates que les éléments au dossier ne permettent pas de déterminer précisément. On ignore en particulier si le versement doit intervenir au 30 juin et au 31 décembre, ou tous les six mois dès la prise d'activité. En outre, rien en l'état ne permet de supposer que les conditions du droit de l'appelant au versement de la participation selon les termes du contrat ne seraient pas réalisées. L'appelant n'a en effet pas produit une attestation de l'état de son compte de commissionnement depuis son entrée en fonction. De plus, exercer son activité professionnelle de manière à percevoir la part variable de sa rémunération est non seulement dans le propre intérêt personnel de l'appelant, mais répond également aux obligations légales d'entretien de l'intéressé envers son épouse et ses enfants, et on peut raisonnablement exiger de lui qu'il mobilise sa force de travail de façon à obtenir les moyens nécessaires au maintien de sa capacité contributive, étant rappelé qu'il a démontré dans son précédent emploi qu'il pouvait réaliser un revenu mensuel supérieur à son revenu fixe actuel. A cet égard, il convient de relever qu'une modification des mesures protectrices ne doit pas résulter du comportement de l'un des époux contraire aux obligations découlant du mariage, tel l'abandon d'un emploi bien rémunéré (Chaix, op. cit., n. 4 ad art. 179 CC et la réf. citée); or, l'appelant a perdu son précédent emploi par sa faute, son employeur l'ayant licencié avec effet immédiat et pour justes motifs en raison de ses absences répétées et injustifiées; on ne saurait par conséquent imposer à l'intimée et à ses enfants de supporter les conséquences du comportement de l'appelant. Par ailleurs, depuis le mois de février 2011, l'appelant a signé avec son amie un bail à loyer pour un appartement à Fribourg, afin d'y établir un salon de massage. A la même époque, il avait également entrepris des démarches en son nom propre pour reprendre un salon de massage à Lausanne. Le bail pris en commun ayant clairement pour objectif l'exercice d'une activité commerciale à but lucratif, on peut au degré de la vraisemblance prévalant en matière de mesures protectrices de l'union conjugale (cf. c. 2c supra) retenir que l'appelant est en mesure de bénéficier de revenus issus de cette activité, sans qu'il soit nécessaire à ce stade de déterminer plus avant la nature et la portée de son implication dans la marche de ce commerce. C'est à tort que l'appelant considère que le premier juge lui a imputé un revenu hypothétique. En effet, dans un arrêt récent, le Tribunal fédéral a précisé que, lorsque l'autorité cantonale examine les comptes de l'époux et arrive à la conclusion que ses revenus sont plus élevés que ce qui est allégué, l'autorité ne se fonde pas sur un revenu hypothétique, mais sur un revenu réel – ou estimé –, fondé sur des indices suffisants (tels que courriels de l'époux, évolution des revenus, etc.; TF 5A_72/2012 du 12 avril 2012 c. 3-4). Tel est le cas en l'occurrence au vu des éléments de fait exposés dans le présent considérant. Les griefs développés par l'appelant à cet égard tombent par conséquent à faux. c) S'agissant des charges incompressibles de l'appelant, c'est à juste titre que le premier juge a considéré que la part de 2'000 fr. au loyer mensuel de 4'000 fr. allégué par l'intéressé était totalement disproportionnée au vu de sa situation financière et de son obligation d'entretien, ce d'autant plus qu'il ne reçoit pas ses enfants en droit de visite, de sorte que le montant de 1'000 fr. par mois retenu à ce titre en première instance peut être confirmé. C'est également à juste titre que le premier juge n'a pas retenu de montant au titre de frais relatifs au droit de visite de l'appelant, dans la mesure où ce dernier n'exerce pas ce droit. Cela étant, le montant du minimum vital de l'appelant tel qu'arrêté à 2'250 fr. en première instance peut être confirmé. d) La situation matérielle de l'intimée créancière de la contribution d'entretien ne s'est pas modifiée. Ne réalisant aucun revenu propre en l'état, l'intéressée dépend donc avec ses enfants entièrement de la pension versée par l'appelant, actuellement de 4'000 francs. Interrogée par la juge déléguée, l'intimée a déclaré s'acquitter mensuellement d'un loyer de 1'800 fr. ainsi que d'une prime d'assurance-maladie pour elle et ses enfants de 500 francs. Ajoutées au montant de base mensuel du minimum vital de 2'150 fr. pour l'intimée et ses enfants (1'350 fr. + [2 x 400 fr.]), ces charges aboutissent à un total de 4'450 fr. par mois, sans même tenir compte de la somme de 1'500 fr. dont l'intimée a déclaré s'acquitter mensuellement au titre de frais de garde pour ses enfants – question qui peut rester ouverte au regard de ce qui suit. Ce total est déjà supérieur au montant de la pension actuelle, au maintien duquel l'intimée a toutefois limité ses conclusions. e) Le service de la contribution d'entretien, telle que fixée à 4'000 fr., porterait atteinte au minimum vital de l'appelant si le revenu mensuel de ce dernier était limité à la part fixe de son salaire net, par 5'623 fr. 10, le solde disponible après déduction des charges incompressibles n'étant alors que de 3'373 fr. 10. Or, dès lors qu'il est établi, au degré de la vraisemblance, que les revenus mensuels réalisés par l'appelant sont en définitive supérieurs, l'atteinte à son minimum vital n'est pas avérée. f) Cela étant, si les circonstances de fait se sont modifiées, elles n'ont pas changé d'une manière essentielle et durable qui justifierait une réduction du montant de la contribution d'entretien. Par conséquent, la conclusion prise par l'appelant en ce sens doit être rejetée.</w:t>
      </w:r>
    </w:p>
    <w:p>
      <w:r>
        <w:rPr>
          <w:b/>
        </w:rPr>
        <w:t>E. 5</w:t>
      </w:r>
    </w:p>
    <w:p>
      <w:r>
        <w:t>Au vu de ce qui précède, l'appel doit être rejeté et l'ordonnance entreprise confirmée. L'appelant, qui succombe, doit supporter les frais judiciaires de deuxième instance (art. 106 al. 1 CPC), lesquels sont arrêtés à 600 fr. (art. 65 al. 2 TFJC [tarif des frais judiciaires civils du 28 septembre 2010; RSV 270.11.5]) et sont compensés avec l'avance du même montant que l'appelant a fournie (art. 111 al. 1 CPC). L'appelant doit verser à l'intimée, qui obtient gain de cause, la somme de 1'200 fr. à titre de dépens de deuxième instance (art. 2, 3 et 7 TDC [tarif des dépens en matière civile du 23 novembre 2010; RSV 270.11.6]). Par ces motifs, la juge déléguée de la Cour d'appel civile du Tribunal cantonal, statuant à huis clos, prononce : I. L'appel est rejeté. II. L'ordonnance est confirmée. III. Les frais judiciaires de deuxième instance, arrêtés à 600 fr. (six cents francs), sont mis à la charge de l'appelant. IV. L'appelant A.K.________ doit verser à l'intimée B.K.________ la somme de 1'200 fr. (mille deux cents francs) à titre de dépens de deuxième instance. V. L'arrêt motivé est exécutoire. La juge déléguée : Le greffier : Du</w:t>
      </w:r>
    </w:p>
    <w:p>
      <w:r>
        <w:rPr>
          <w:b/>
        </w:rPr>
        <w:t>E. 9</w:t>
      </w:r>
    </w:p>
    <w:p>
      <w:r>
        <w:t>juillet 2012 Le dispositif de l'arrêt qui précède est communiqué par écrit aux intéressés. Le greffier : Du L'arrêt qui précède, dont la rédaction a été approuvée à huis clos, est notifié en expédition complète, par l'envoi de photocopies à : ‑ Me Laurent Fischer (pour A.K.________), ‑ Me Christine Marti (pour B.K.________).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