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460 vom 3. Juli 2012</w:t>
      </w:r>
    </w:p>
    <w:p>
      <w:r>
        <w:t>VD Tribunal cantonal, 2012-07-03, FR</w:t>
      </w:r>
    </w:p>
    <w:p>
      <w:r>
        <w:rPr>
          <w:b/>
        </w:rPr>
        <w:t xml:space="preserve">Quelle: </w:t>
      </w:r>
      <w:r>
        <w:t>https://mcp.opencaselaw.ch/entscheid/vd_findinfo_HC___2012___460</w:t>
      </w:r>
    </w:p>
    <w:p>
      <w:r>
        <w:t>FR: VD_FINDINFO HC / 2012 / 460 du 3 juillet 2012</w:t>
      </w:r>
    </w:p>
    <w:p>
      <w:r>
        <w:t>IT: VD_FINDINFO HC / 2012 / 460 del 3 luglio 2012</w:t>
      </w:r>
    </w:p>
    <w:p>
      <w:pPr>
        <w:pStyle w:val="Heading2"/>
      </w:pPr>
      <w:r>
        <w:t>Regeste</w:t>
      </w:r>
    </w:p>
    <w:p>
      <w:r>
        <w:t>OBLIGATION D'ENTRETIEN, PROTECTION DE L'UNION CONJUGALE, CONJOINT | 163 al. 1 CC</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suisse du 19 décembre 2008 ; RS 272 ; Tappy, Les voies de droit du nouveau Code de procédure civile, JT 2010 III 115, p. 121), dans les causes non patrimoniales ou dont la valeur litigieuse au dernier état des conclusions devant l'autorité inférieure est supérieure à 10'000 francs (art. 308 al. 2 CPC). Les prononcés de mesures protectrices étant régis par la procédure sommaire, selon l'art. 271 CPC, le délai pour l'introduction de l'appel est de dix jours (art. 314 al. 1 CPC). L'appel relève de la compétence d'un juge unique (art. 84 al. 2 LOJV [loi vaudoise d'organisation judiciaire du 12 décembre 1979 ; RSV 173.01]). Formé en temps utile par une partie qui y a un intérêt et portant sur des conclusions patrimoniales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 2). En l'espèce, l'appelant a requis la production du relevé, depuis le 1 er janvier 2012, de tout compte ouvert au nom de l'intimée ou de son fils W.________ auprès de la [...] ou auprès de [...]. Il n'y a pas lieu de donner suite à cette requête, qui n'a pas été formulée en première instance alors qu'elle aurait pu l'être. Au demeurant, les pièces dont la production est requise sont sans incidence sur l'issue du litige (voir c. 3e infra).</w:t>
      </w:r>
    </w:p>
    <w:p>
      <w:r>
        <w:rPr>
          <w:b/>
        </w:rPr>
        <w:t>E. 3</w:t>
      </w:r>
    </w:p>
    <w:p>
      <w:r>
        <w:t>Est litigieuse en l'espèce la contribution d'entretien mise à la charge de l'appelant en faveur de l'intimée. Il convient dès lors de rappeler les principes applicables à sa détermination. a) Selon l'art. 176 al. 1 ch. 1 CC (Code civil du 10 décembre 1907 ; RS 210), le juge fixe la contribution pécuniaire à verser par l'une des parties à l'autre. Il le fait en application de l'art. 163 aI. 1 CC. Le montant de la contribution d'entretien se détermine en fonction des facultés économiques et des besoins respectifs des époux.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w:t>
      </w:r>
    </w:p>
    <w:p>
      <w:r>
        <w:rPr>
          <w:b/>
        </w:rPr>
        <w:t>E. 4</w:t>
      </w:r>
    </w:p>
    <w:p>
      <w:r>
        <w:t>juillet 2012 Le dispositif de l'arrêt qui précède est communiqué par écrit aux intéressés. La greffière : Du L'arrêt qui précède, dont la rédaction a été approuvée à huis clos, est notifié en expédition complète, par l'envoi de photocopies, à : ‑ Me Jean-Pierre Moser, avocat (pour C.D.________), ‑ Me Christian Bacon, avocat (pour N.D.________). La Juge déléguée de la Cour d'appel civile considère que la valeur litigieuse est de 11'700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