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450 vom 16. Mai 2012</w:t>
      </w:r>
    </w:p>
    <w:p>
      <w:r>
        <w:t>VD Tribunal cantonal, 2012-05-16, FR</w:t>
      </w:r>
    </w:p>
    <w:p>
      <w:r>
        <w:rPr>
          <w:b/>
        </w:rPr>
        <w:t xml:space="preserve">Quelle: </w:t>
      </w:r>
      <w:r>
        <w:t>https://mcp.opencaselaw.ch/entscheid/vd_findinfo_HC___2012___450</w:t>
      </w:r>
    </w:p>
    <w:p>
      <w:r>
        <w:t>FR: VD_FINDINFO HC / 2012 / 450 du 16 mai 2012</w:t>
      </w:r>
    </w:p>
    <w:p>
      <w:r>
        <w:t>IT: VD_FINDINFO HC / 2012 / 450 del 16 maggio 2012</w:t>
      </w:r>
    </w:p>
    <w:p>
      <w:pPr>
        <w:pStyle w:val="Heading2"/>
      </w:pPr>
      <w:r>
        <w:t>Regeste</w:t>
      </w:r>
    </w:p>
    <w:p>
      <w:r>
        <w:t>RECTIFICATION DE LA DÉCISION, RECTIFICATION{EN GÉNÉRAL}, ACTION EN RECTIFICATION, INTERPRÉTATION{SENS GÉNÉRAL} | 334 al. 1 CPC (CH), 334 al. 3 CPC (CH), 334 CPC (CH)</w:t>
      </w:r>
    </w:p>
    <w:p>
      <w:pPr>
        <w:pStyle w:val="Heading2"/>
      </w:pPr>
      <w:r>
        <w:t>Erwägungen</w:t>
      </w:r>
    </w:p>
    <w:p>
      <w:r>
        <w:rPr>
          <w:b/>
        </w:rPr>
        <w:t>E. 1</w:t>
      </w:r>
    </w:p>
    <w:p>
      <w:r>
        <w:t>A teneur de l’art. 334 al. 3 CPC, le recours est ouvert contre les décisions de rectification, respectivement de refus de rectification (cf. Schweizer, in CPC commenté, Bâle 2011, n. 18 ad art. 334 CPC), rendues par une autorité de première instance. Interjeté en temps utile (art. 321 al. 1 CPC) par une partie qui y a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au premier juge une application incorrecte de l’art. 334 al. 1 CPC. De son point de vue, le dispositif du jugement de divorce est en contradiction avec les motifs de la convention sur les effets accessoires, dès lors qu’il indique le nom d’une fondation de prévoyance non détentrice de la somme de 15'000 francs. Le jugement de divorce ne serait en outre ni clair, ni complet ou limpide, le chiffre IV du dispositif étant objectivement impossible à exécuter. Au surplus, le recourant fait état de l’erreur patente du dispositif imprudemment rédigé sur la base des informations erronées données par l’intimée, lesquelles ne reposaient sur aucune pièce justificative. b) Aux termes de l’art. 334 al. 1 CPC, si le dispositif de la décision est peu clair, contradictoire ou incomplet ou qu’il ne correspond pas à la motivation, le tribunal procède, sur requête ou d’office, à l’interprétation ou à la rectification de la décision ; la requête doit indiquer les passages contestés ou les modifications demandées. c) En l’espèce, contrairement à ce que prétend le recourant, le dispositif du jugement de divorce n’appelle aucune rectification ou interprétation au sens de la disposition précitée. Comme relevé par le premier juge, le dispositif est clair, complet et ne comporte aucune contradiction avec les considérants du jugement. Il est du reste conforme à la convention sur les effets accessoires conclue le 5 septembre 2011 par les parties. Il en découle que les conditions d’une rectification ou d’une interprétation ne sont manifestement pas réalisées. Il appartenait, le cas échéant, au recourant de demander la révision du jugement de divorce, compte tenu du fait qu’au moment où le prélèvement a été ordonné, les fonds détenus auprès de la Fondation [...] avaient déjà été transférés auprès de la Fondation de libre passage de la Banque [...], sans que le recourant n’en ait apparemment eu connaissance. Mal fondé, le moyen du recourant doit être rejeté.</w:t>
      </w:r>
    </w:p>
    <w:p>
      <w:r>
        <w:rPr>
          <w:b/>
        </w:rPr>
        <w:t>E. 4</w:t>
      </w:r>
    </w:p>
    <w:p>
      <w:r>
        <w:t>En conclusion, le recours doit être rejeté, en application de l’art. 322 al. 1 CPC, et le prononcé confirmé. Le recours était d’emblée dépourvu de chances de succès, de sorte que la requête d’assistance judiciaire pour la procédure de recours doit être rejetée (art. 117 let. b CPC). Les frais judiciaires de deuxième instance, arrêtés à 300 fr. (art. 71 al. 1 TFJC [Tarif des frais judiciaires civils du 28 septembre 2010, RSV 270.11.5]), doivent être mis à la charge du recourant qui succombe (art. 106 al. 1 CPC). Il n’y a pas matière à l’allocation de dépens de deuxième instance, l’intimée n’ayant pas été invitée à se déterminer sur le recours. Par ces motifs, la Chambre des recours civile du Tribunal cantonal, statuant à huis clos, en application de l'art. 322 al. 1 CPC, prononce : I. Le recours est rejeté. II. La décision est confirmée. III. La requête d’assistance judiciaire est rejetée. IV. Les frais judiciaires de deuxième instance, arrêtés à 300 fr. (trois cents francs), sont mis à la charge du recourant R.________. V. L’arrêt motivé est exécutoire. Le président : Le greffier : Du 18 mai 2012 Le dispositif de l'arrêt qui précède est communiqué par écrit aux intéressés. Le greffier : Du L'arrêt qui précède, dont la rédaction a été approuvée à huis clos, est notifié en expédition complète, par l'envoi de photocopies, à : ‑ Me Olivier Couchepin (pour R.________) ‑ Me Leila Roussianos (pour I.________) La Chambre des recours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