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45 vom 14. November 2011</w:t>
      </w:r>
    </w:p>
    <w:p>
      <w:r>
        <w:t>VD Tribunal cantonal, 2011-11-14, FR</w:t>
      </w:r>
    </w:p>
    <w:p>
      <w:r>
        <w:rPr>
          <w:b/>
        </w:rPr>
        <w:t xml:space="preserve">Quelle: </w:t>
      </w:r>
      <w:r>
        <w:t>https://mcp.opencaselaw.ch/entscheid/vd_findinfo_HC___2012___45</w:t>
      </w:r>
    </w:p>
    <w:p>
      <w:r>
        <w:t>FR: VD_FINDINFO HC / 2012 / 45 du 14 novembre 2011</w:t>
      </w:r>
    </w:p>
    <w:p>
      <w:r>
        <w:t>IT: VD_FINDINFO HC / 2012 / 45 del 14 novembre 2011</w:t>
      </w:r>
    </w:p>
    <w:p>
      <w:pPr>
        <w:pStyle w:val="Heading2"/>
      </w:pPr>
      <w:r>
        <w:t>Regeste</w:t>
      </w:r>
    </w:p>
    <w:p>
      <w:r>
        <w:t>DROIT TRANSITOIRE, DÉFAUT DE LA CHOSE, AVIS DES DÉFAUTS, RÉDUCTION{EN GÉNÉRAL}, LOYER | 259a al. 1 let. b CO, 259d CO, 444 al. 1 ch. 3 CPC, 451 ch. 3 CPC, 13 LTB, 405 al. 1 CPC (CH)</w:t>
      </w:r>
    </w:p>
    <w:p>
      <w:pPr>
        <w:pStyle w:val="Heading2"/>
      </w:pPr>
      <w:r>
        <w:t>Erwägungen</w:t>
      </w:r>
    </w:p>
    <w:p>
      <w:r>
        <w:rPr>
          <w:b/>
        </w:rPr>
        <w:t>E. 1</w:t>
      </w:r>
    </w:p>
    <w:p>
      <w:r>
        <w:t>Depuis l'entrée en vigueur le 1 er janvier 2011 du Code de procédure civile du 19 décembre 2008 (ci-après : CPC, RS 271), les recours sont régis par le droit en vigueur au moment de la communication de la décision aux parties (art. 405 al. 1 CPC). La date d'envoi par le tribunal est déterminante, à l'exclusion de la date de réception par l'une ou l'autre des parties (ATF 137 III 130, JT 2011 II 226). La remise d'un dispositif écrit vaut communication; celle-ci n'est pas reportée à la remise d'une expédition motivée (ATF 137 III 127, JT 2011 II 228). En l'espèce, le dispositif du jugement attaqué a été expédié le 23 février 2010 pour notification. Sont donc applicables les dispositions contenues dans le Code de procédure civile du canton de Vaud du 14 décembre 1966 (ci-après : CPC-VD) devant la Chambre des recours du canton de Vaud (art. 81a al. 2 ROTC [règlement organique du Tribunal cantonal du 13 novembre 2007; RSV 173.31.1] et 166 al. 2 CDPJ [Code de droit privé judiciaire vaudois du 12 janvier 2010; RSV 211.02])</w:t>
      </w:r>
    </w:p>
    <w:p>
      <w:r>
        <w:rPr>
          <w:b/>
        </w:rPr>
        <w:t>E. 2</w:t>
      </w:r>
    </w:p>
    <w:p>
      <w:r>
        <w:t>Les art. 444, 445 et 451 ch. 2 CPC-VD, applicables par renvoi de l'art 13 LTB (Loi sur le Tribunal des baux du 13 décembre 1981), ouvrent la voie des recours en nullité et en réforme contre les jugements principaux rendus par le Tribunal des baux. En vertu de l'art. 461 CPC-VD, l'acte de recours doit contenir les conclusions du recourant (al. 1 let. b) et indiquer s'il tend à la nullité ou à la réforme (al. 2). Les exigences de cette disposition ne constituent pas une simple règle d'ordre, mais des conditions de recevabilité du recours; des conclusions doivent figurer dans l'acte de recours à peine d'irrecevabilité (Poudret/Haldy/Tappy, Procédure civile vaudoise, 3 ème éd., Lausanne 2002, n. 2 ad art. 461 CPC-VD). A défaut de conclusions précises, le recours est recevable lorsqu'il permet de déterminer avec certitude l'intention du recourant (Poudret/Haldy/Tappy, op. cit., n. 3 ad art. 461 CPC-VD). En l'espèce, les conclusions prises par le recourant tendent principalement à la réforme, subsidiairement à la nullité du jugement attaqué. Déposé en temps utile (art. 458 CPC-VD) par une partie qui y a intérêt, le recours est formellement recevable.</w:t>
      </w:r>
    </w:p>
    <w:p>
      <w:r>
        <w:rPr>
          <w:b/>
        </w:rPr>
        <w:t>E. 3</w:t>
      </w:r>
    </w:p>
    <w:p>
      <w:r>
        <w:t>Lorsque le recours conclut à la nullité, le mémoire du recourant doit énoncer séparément les moyens invoqués (art. 465 al. 3 CPC-VD). L'énonciation séparée de tels moyens est une condition de recevabilité du recours en nullité de telle sorte qu'il y a lieu d'écarter préliminairement celui-ci lorsqu'il n'énonce que des moyens de réforme (Poudret/Haldy/Tappy, op. cit, n. 2 ad art. 465 CPC-VD et n. 2 et 4 ad art. 470 CPC-VD). En l'espèce, le recourant invoque en nullité une violation des règles essentielles de la procédure, caractérisée par une appréciation arbitraire des preuves, qui constitue un moyen de nullité au sens de l'art. 444 al. 1 ch. 3 CPC-VD (JT 2001 III 128). Toutefois, ce moyen est subsidiaire au recours en réforme et ne peut être invoqué que si l'informalité ne peut être réparée dans le cadre d'un tel recours (Poudret/Haldy/Tappy, op. cit., n. 14 ad art. 444 CPC-VD; Girardet, Le recours en nullité en procédure civile vaudoise, thèse Lausanne 1986, pp. 189 ss). L'autorité de recours pouvant ordonner des mesures d'instruction complémentaires (art. 456a CPC-VD) et revoir librement la cause en fait et en droit (art. 452 al. 2 CPC-VD), les vices invoqués peuvent être réparés le cas échéant dans le cadre du recours en réforme et sont irrecevables en nullité, voie de droit subsidiaire (JT 2003 III 3; JT 2001 III 128 précité). Partant, le recours en nullité est irrecevable.</w:t>
      </w:r>
    </w:p>
    <w:p>
      <w:r>
        <w:rPr>
          <w:b/>
        </w:rPr>
        <w:t>E. 4</w:t>
      </w:r>
    </w:p>
    <w:p>
      <w:r>
        <w:t>a) En réforme, les parties ne peuvent prendre des conclusions nouvelles ou plus amples ni soulever des exceptions nouvelles (art. 452 al. 1 CPC-VD). La Chambre des recours revoit librement la cause en fait et en droit (art. 452 aI. 2 CPC-VD par renvoi de l'art. 13 LTB). Les parties ne peuvent toutefois articuler des faits nouveaux, sous réserve de ceux qui résultent du dossier et qui auraient dû être retenus ou de ceux pouvant résulter d'une instruction complémentaire selon l'art. 456a CPC-VD (art. 452 al. 1ter CPC-VD). Elle développe donc son raisonnement juridique sur la base de l'état de fait du jugement, après en avoir vérifié la conformité aux preuves figurant au dossier et l'avoir, le cas échéant, corrigé ou complété au moyen de celles-ci (JT 2003 III 3). En l'espèce, les conclusions en réforme du recourant ne sont ni plus amples ni nouvelles par rapport à celles prises en première instance, de sortes qu'elles sont recevables à la forme. b) La recourante constate que l'argumentation du Tribunal des baux est essentiellement fondée sur les témoignages recueillis lors de l'audience de jugement du 27 janvier 2010. A cet égard, elle relève que le tribunal n'a toutefois délibéré que 23 jours plus tard et fait valoir que ce délai est énorme s'agissant de témoignages qui n'ont pas été ténorisés, ce d'autant que le jugement motivé n'a été rédigé qu'une année et demie plus tard. Ce moyen est infondé. Les premiers juges étaient en mesure de délibérer ultérieurement sans oublier la teneur des témoignages, le délai ayant couru entre l'audience de jugement et la délibération du tribunal ne s'avérant pas anormalement long. Au surplus, le Tribunal des baux a rendu son jugement au terme d'une instruction approfondie, compte tenu des témoignages recueillis mais aussi des pièces versées au dossier (photographies, rapport de constat, rapport d'état sur les installations sanitaires, courriers du Centre technique du Service de l'urbanisme et des bâtiments de la Commune de Renens et de la Municipalité de Renens) pour arriver à une appréciation globale de la situation. Ce faisant, les premiers juges ont apprécié librement les preuves selon leur intime conviction (art. 5 al. 3 CPC-VD; Guldener, Schweizerisches Zivilprozessrecht, 3 ème éd., Zurich 1979, p. 324 et pp. 340-341; Hohl, Procédure civile, t. I, Berne 2001, n. 1105 ss, p. 213). Partant, le recours doit être rejeté sur ce point.</w:t>
      </w:r>
    </w:p>
    <w:p>
      <w:r>
        <w:rPr>
          <w:b/>
        </w:rPr>
        <w:t>E. 5</w:t>
      </w:r>
    </w:p>
    <w:p>
      <w:r>
        <w:t>a) Le recourant invoque une fausse application de l'art. 259d CO (Code des obligations du 30 mars 1911; RS 220). Il allègue que le jugement attaqué, qui statue sur une réduction de loyer sollicitée dans leurs conclusions par les intimés, retient (jugement, p. 5) que ce n'est que par un courrier du 27 octobre 2006 (pièce 102) que les intimés ont invoqué vis-à-vis de lui les défauts de l'appartement loué. Il relève que, dans ce courrier, les intimés ne sollicitent pas une réduction de loyer, mais ne font que demander s'ils peuvent quitter l'appartement moyennant un préavis de deux mois. Il se réfère en outre à un courrier qu'il croit avoir adressé aux intimés au début de l'année 2006 (pièce 101) en les prévenant du fait qu'il était informé qu'ils recherchaient un nouveau logement, qu'ils n'avaient pas consigné les loyers et qu'ils n'étaient pas en mesure de solliciter une réduction s'ils n'appliquaient pas les dispositions du Code des obligations. Ce courrier est en effet daté par erreur du 4 janvier 2006, alors qu'il a été rédigé le 4 janvier 2007, tel que cela résulte d'une part de la référence en tête dudit courrier et d'autre part de la confrontation de cette pièce 101 avec la pièce 124 (récit chronologique rédigé par les intimés). Quoi qu'il en soit, le recourant considère que les premiers juges n'ont pas tenu compte des pièces au dossier, en particulier du courrier susmentionné des intimés, du 27 octobre 2006, et qu'ils ne se sont pas prononcés sur la renonciation expresse des intimés à requérir une réduction de loyer par courrier clair et net. Le recourant soutient que les premiers juges ont considéré à tort, en se basant exclusivement sur les témoignages flous d'autres locataires et plus particulièrement des proches des intimés, que les conditions d'une réduction de loyer étaient réalisées et qu'il s'agit par conséquent d'une fausse application de l'art. 259d CO. Il leur reproche d'avoir retenu à tort qu'il était au courant des défauts, alors que les intimés ne s'en étaient jamais plaints. De plus, il fait valoir qu'il n'a jamais été mis en demeure de réaliser des travaux, la seule chose que les intimés aient demandé ayant été de pouvoir jouir d'une résiliation anticipée du bail, qui leur a été accordée. Le recourant reproche par ailleurs aux premiers juges d'avoir retenu (jugement, p. 16) qu'il avait parfaitement connaissance des défauts invoqués, ce qui justifie une réduction de loyer depuis l'année 2001, ceci sur de vagues affirmations de témoins, tout en retenant, selon lui de manière contradictoire, qu'il avait fait un certain nombre de travaux. Il reproche aux premiers juges d'arriver à la conclusion que ces travaux n'ont abouti à aucun résultat, alors que les intimés n'ont émis aucune plainte. Le recourant estime que le jugement attaqué établit une vision parfaitement unilatérale de la situation, en se fondant sur des témoignages de proches et sans tenir compte de l'absence de réclamation et de courrier des intimés. Enfin, le recourant fait valoir qu'il ne ressort pas des faits rapportés dans le jugement (p. 3) que l'exception de prescription à l'égard des prétentions de loyers antérieurs à 2004 n'aurait pas été soulevée avant la clôture de l'instruction. b) Selon les art. 259a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Alors que les menus défauts sont à la charge du locataire (art. 259 CO), les défauts de moyenne importance et les défauts graves ouvrent au locataire les droits prévus à l’art. 259a CO (TF 4C.368/2004 du 21 février 2005 c. 4.1; Lachat, Le bail à loyer, 4ème éd., p. 225). Faute de définition légale, la notion de défaut doit être rapprochée de l’état approprié à l’usage pour lequel la chose a été louée, au sens de l’art. 256 al. 1 CO; elle suppose la comparaison entre l’état réel de la chose et l’état convenu (ATF 135 III 347 c. 3.2; TF 4C.219/2005 du 24 octobre 2005 c. 2.2). Le défaut de la chose louée est une notion relative; son existence dépendra des circonstances du cas particulier; il convient de prendre en compte notamment la destination de l’objet loué, l’âge et le type de la construction, le montant du loyer (TF 4C.368/2004 du 21 février 2005 c. 4.1; Lachat, op. cit., p. 219).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Le défaut peut avoir sa source non seulement dans la chose elle-même, mais aussi dans le voisinage ou l’attitude de tiers. L’art. 259d CO, qui prévoit que le droit à une réduction de loyer court à partir du moment où le bailleur a eu connaissance du défaut, doit être compris en ce sens que la déclaration par laquelle le locataire exige du bailleur une réduction de loyer déploie des effets rétroactifs, soit au moment où le bailleur a eu connaissance du défaut et jusqu’à l’élimination de celui-ci (ATF 130 III 504 c. 3; Lachat, Commentaire romand du Code des obligations, n. 3 ad art. 259d CO, p. 1352; Burkhalter, Le droit suisse du bail à loyer, commentaire, nn. 7 à 8b ad art. 259d CO, p. 241). Il en découle que, dans le cas où le bailleur connaissait l’existence du défaut avant que le locataire ne déclare exiger une réduction de loyer, ce dernier pourra à la fois réclamer la restitution d’une partie des loyers déjà versés et la réduction des loyers pour le futur, jusqu’à l’élimination du défaut, en consignant, au besoin, les loyers à échoir conformément à l’art. 259g CO (ATF 130 III 504 c. 3). Ainsi, ce qui importe, c'est que le bailleur ait connaissance du défaut, peu importe de quelle manière et par quel biais; il n'est donc pas nécessaire que la communication soit le fait du locataire lui-même. Le bailleur peut ainsi prendre connaissance du défaut en le constatant lui-même ou en étant informé par les auxiliaires, voire par des tiers (maîtres d'état, autorités). Toutefois, le locataire doit prouver cette connaissance en cas de contestation du bailleur quant au principe, à l'ampleur ou à la durée de la réduction de loyer (Aubert, in Bohnet/Montini, Droit du bail à loyer, nn. 11 et 12 et 63 ad art. 259d CO).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4C.219/2005 du 24 octobre 2005 c. 2.3). c) En l'espèce, le jugement attaqué retient l'envoi, par les intimés, du courrier susmentionné du 27 octobre 2006 et reprend in extenso le contenu de ce courrier (jugement, pp. 5 et 6). Ce courrier évoque les défauts, soit "un grave problèmes d'humidité" récurrent. Les premiers juges retiennent également que les plaintes des intimés au sujet de ces problèmes sont objectivées, soit prouvées, par les témoins entendus. Le jugement évoque largement le contenu des déclarations des témoins (jugement, pp. 7 à 10). Contrairement à ce que prétend le recourant, il ne s'agit pas de "témoignages flous" de proches des intimés. Le jugement fait mention de huit témoins, dont cinq ne sont pas des proches, qui tous attestent des importants problèmes d'humidité rencontrés depuis 1998, puis disparus entre 2001 et 2004, puis réapparus. Il découle également de ces témoignages que des interventions ont eu lieu – ce qui présuppose évidemment que le bailleur et recourant en a eu connaissance – notamment que l'architecte du recourant a conseillé ce dernier et a supervisé des travaux entrepris en relation avec ces problèmes. Les premiers juges se fondent également sur des pièces, en particulier des photos, ainsi qu'un constat d'architecte du 27 juillet 2007 établissant l'existence des dégâts, et un rapport d'expert du 10 septembre 2007 allant dans le même sens. Le jugement attaqué décrit aussi toute la procédure administrative menée par la commune de Renens (jugement, pp. 11 à 13). C'est donc à raison que les premiers juges, sur la base de l'ensemble de ces éléments, ont retenu comme suffisamment établie la réalité des problèmes d'humidité allégués par les intimés, qu'ils ont considéré que ces problèmes constituaient bien un défaut de la chose louée et que ces défauts étaient imputables au recourant. Les premiers juges ont également examiné de façon complète les conditions de l'avis des défauts (jugement, pp. 15 à 17); ils aboutissent à la conclusion convaincante, qu'au vu de l'ensemble des éléments, le recourant ne saurait de bonne foi soutenir qu'il ignorait, en particulier après ses premières interventions dans le logement litigieux en 2001, puis aussi après l'intervention municipale et les plaintes subséquentes de 2006, l'existence des problèmes d'humidité. Enfin, s'agissant du moyen tiré de la prescription, on retiendra qu'il a été invoqué tardivement, pour les raisons indiquées dans le jugement (p. 23), qui peuvent être confirmées par adoption de motifs (art. 471 al. 3 CPC-VD). A la lecture du procès-verbal de l'audience, il ne ressort pas que la prescription ait été soulevée avant la fin de l'instruction, aucun élément du dossier ne contredisant la constatation des premiers juges selon lesquels ce moyen n'aurait été soulevé qu'en plaidoirie. Au vu de ce qui précède, le moyen tiré de la violation de l'art. 259d CO est mal fondé et doit être rejeté.</w:t>
      </w:r>
    </w:p>
    <w:p>
      <w:r>
        <w:rPr>
          <w:b/>
        </w:rPr>
        <w:t>E. 6</w:t>
      </w:r>
    </w:p>
    <w:p>
      <w:r>
        <w:t>En définitive, le recours se révèle manifestement mal fondé et doit être rejeté en application de l'art. 465 al. 1 CPC-VD, le jugement étant confirmé. Les frais de deuxième instance du recourant sont arrêtés à 500 fr. (art. 232 al. 1 aTFJC [tarif des frais judiciaires en matière civile du 4 décembre 1984]). Les intimés n'ayant pas été interpellés, il ne sera pas alloué de dépens. Par ces motifs, la Chambre des recours du Tribunal cantonal, statuant à huis clos, en application de l'art. 465 al. 1 CPC-VD, prononce : I. Le recours est rejeté. II. Le jugement est confirmé. III. Les frais de deuxième instance du recourant R.________ sont arrêtés à 500 fr. (cinq cents francs). IV. L'arrêt motivé est exécutoire. Le président :               Le greffier : Du 14 novembre 2011 Le dispositif de l'arrêt qui précède est communiqué par écrit aux intéressés. Le greffier : Du L'arrêt qui précède, dont la rédaction a été approuvée à huis clos, est notifié en expédition complète, par l'envoi de photocopies, à : ‑ Me Yves Hofstetter (pour R.________), ‑ Me Guillaume Perrot (pour X.________). La Chambre des recours considère que la valeur litigieuse est de 19'940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